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1393C" w14:textId="20A20EEA" w:rsidR="006C1C95" w:rsidRPr="00E2291A" w:rsidRDefault="006C1C95" w:rsidP="00C74959">
      <w:pPr>
        <w:rPr>
          <w:b/>
          <w:szCs w:val="22"/>
        </w:rPr>
      </w:pPr>
      <w:r w:rsidRPr="00E2291A">
        <w:rPr>
          <w:b/>
          <w:szCs w:val="22"/>
        </w:rPr>
        <w:t xml:space="preserve">To: </w:t>
      </w:r>
      <w:r w:rsidR="004B6C4D">
        <w:rPr>
          <w:b/>
          <w:szCs w:val="22"/>
        </w:rPr>
        <w:t>Industrial</w:t>
      </w:r>
    </w:p>
    <w:p w14:paraId="6E5D7182" w14:textId="4C5955F6" w:rsidR="006C1C95" w:rsidRPr="00E2291A" w:rsidRDefault="006C1C95" w:rsidP="006C1C95">
      <w:pPr>
        <w:rPr>
          <w:b/>
          <w:szCs w:val="22"/>
        </w:rPr>
      </w:pPr>
      <w:r w:rsidRPr="00E2291A">
        <w:rPr>
          <w:b/>
          <w:szCs w:val="22"/>
        </w:rPr>
        <w:t>From:</w:t>
      </w:r>
      <w:r w:rsidR="004B6C4D">
        <w:rPr>
          <w:b/>
          <w:szCs w:val="22"/>
        </w:rPr>
        <w:t xml:space="preserve"> Morgan</w:t>
      </w:r>
    </w:p>
    <w:p w14:paraId="11D889B5" w14:textId="55A356A4" w:rsidR="006C1C95" w:rsidRPr="00E2291A" w:rsidRDefault="006C1C95" w:rsidP="006C1C95">
      <w:pPr>
        <w:rPr>
          <w:b/>
          <w:szCs w:val="22"/>
        </w:rPr>
      </w:pPr>
      <w:r w:rsidRPr="00E2291A">
        <w:rPr>
          <w:b/>
          <w:szCs w:val="22"/>
        </w:rPr>
        <w:t xml:space="preserve">Date: </w:t>
      </w:r>
      <w:r w:rsidR="004B6C4D">
        <w:rPr>
          <w:b/>
          <w:szCs w:val="22"/>
        </w:rPr>
        <w:t>6 July 2020</w:t>
      </w:r>
    </w:p>
    <w:p w14:paraId="3B27936F" w14:textId="041DBC60" w:rsidR="00E2291A" w:rsidRPr="00E2291A" w:rsidRDefault="006C1C95" w:rsidP="006C1C95">
      <w:pPr>
        <w:pBdr>
          <w:bottom w:val="single" w:sz="6" w:space="1" w:color="auto"/>
        </w:pBdr>
        <w:rPr>
          <w:b/>
          <w:szCs w:val="22"/>
        </w:rPr>
      </w:pPr>
      <w:r w:rsidRPr="00E2291A">
        <w:rPr>
          <w:b/>
          <w:szCs w:val="22"/>
        </w:rPr>
        <w:t xml:space="preserve">Re: </w:t>
      </w:r>
      <w:r w:rsidR="004B6C4D">
        <w:rPr>
          <w:b/>
          <w:szCs w:val="22"/>
        </w:rPr>
        <w:t>Data Visualization</w:t>
      </w:r>
    </w:p>
    <w:p w14:paraId="784FE961" w14:textId="64688382" w:rsidR="006C1C95" w:rsidRDefault="004B6C4D" w:rsidP="00E2291A">
      <w:pPr>
        <w:rPr>
          <w:szCs w:val="22"/>
        </w:rPr>
      </w:pPr>
      <w:r>
        <w:rPr>
          <w:szCs w:val="22"/>
        </w:rPr>
        <w:t xml:space="preserve">This document provides a description of the different </w:t>
      </w:r>
      <w:r w:rsidRPr="004B6C4D">
        <w:rPr>
          <w:szCs w:val="22"/>
        </w:rPr>
        <w:t>data visualizations</w:t>
      </w:r>
      <w:r>
        <w:rPr>
          <w:szCs w:val="22"/>
        </w:rPr>
        <w:t xml:space="preserve"> required for the new ISLG application. Generally, we want data visualizations to appear on the </w:t>
      </w:r>
      <w:r w:rsidRPr="004B6C4D">
        <w:rPr>
          <w:szCs w:val="22"/>
        </w:rPr>
        <w:t>main legal analytics pages (Dispute Analytics, People Analytics, Organization Analytics and Country Analytics) and then as well on the individual profile pages (Individual People Profile and Individual Organization Profile).</w:t>
      </w:r>
    </w:p>
    <w:p w14:paraId="3AD089F2" w14:textId="13A299F2" w:rsidR="004B6C4D" w:rsidRDefault="004B6C4D" w:rsidP="004B6C4D">
      <w:pPr>
        <w:pStyle w:val="Heading1"/>
      </w:pPr>
      <w:r>
        <w:t>Dispute Analytics</w:t>
      </w:r>
    </w:p>
    <w:p w14:paraId="5FF8A56A" w14:textId="176B582A" w:rsidR="004B6C4D" w:rsidRDefault="004B6C4D" w:rsidP="004B6C4D">
      <w:r>
        <w:t xml:space="preserve">Wireframe: </w:t>
      </w:r>
      <w:hyperlink r:id="rId7" w:history="1">
        <w:r w:rsidRPr="00C97A93">
          <w:rPr>
            <w:rStyle w:val="Hyperlink"/>
          </w:rPr>
          <w:t>https://projects.invisionapp.com/share/JET7XMPSQFW#/screens/418984873</w:t>
        </w:r>
      </w:hyperlink>
    </w:p>
    <w:p w14:paraId="1052CE86" w14:textId="38A28E80" w:rsidR="004B6C4D" w:rsidRDefault="0074433B" w:rsidP="004B6C4D">
      <w:pPr>
        <w:jc w:val="center"/>
      </w:pPr>
      <w:r>
        <w:rPr>
          <w:noProof/>
        </w:rPr>
        <w:drawing>
          <wp:inline distT="0" distB="0" distL="0" distR="0" wp14:anchorId="4F418889" wp14:editId="191B2CC3">
            <wp:extent cx="3554083" cy="3362628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0214" cy="338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F39BE" w14:textId="6FEC5C1A" w:rsidR="004B6C4D" w:rsidRDefault="004B6C4D" w:rsidP="004B6C4D">
      <w:pPr>
        <w:pStyle w:val="ListParagraph"/>
        <w:numPr>
          <w:ilvl w:val="0"/>
          <w:numId w:val="1"/>
        </w:numPr>
      </w:pPr>
      <w:r>
        <w:t>Applicable Treaties (pie chart)</w:t>
      </w:r>
    </w:p>
    <w:p w14:paraId="28F7C9CA" w14:textId="4FAE2BC7" w:rsidR="004B6C4D" w:rsidRDefault="004B6C4D" w:rsidP="004B6C4D">
      <w:pPr>
        <w:pStyle w:val="ListParagraph"/>
        <w:numPr>
          <w:ilvl w:val="1"/>
          <w:numId w:val="1"/>
        </w:numPr>
      </w:pPr>
      <w:r>
        <w:t xml:space="preserve">Pulls </w:t>
      </w:r>
      <w:r w:rsidR="00B75AAC">
        <w:t>data from Disputes: Applicable Treaty and presents the number of disputes based on the Treaties: Treaty Type</w:t>
      </w:r>
    </w:p>
    <w:p w14:paraId="314E9532" w14:textId="77777777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International Treaties &amp; Rules</w:t>
      </w:r>
    </w:p>
    <w:p w14:paraId="5C51ABBE" w14:textId="77777777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Bilateral Investment Treaties (BITs)</w:t>
      </w:r>
    </w:p>
    <w:p w14:paraId="773C82A5" w14:textId="77777777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Free Trade Agreement (FTAs)</w:t>
      </w:r>
    </w:p>
    <w:p w14:paraId="583B5412" w14:textId="77777777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NAFTA</w:t>
      </w:r>
    </w:p>
    <w:p w14:paraId="7D4A949B" w14:textId="77777777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Regional/Sectoral Agreements</w:t>
      </w:r>
    </w:p>
    <w:p w14:paraId="32FCB63C" w14:textId="77777777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National Investment Law</w:t>
      </w:r>
    </w:p>
    <w:p w14:paraId="1D0D6E24" w14:textId="79012C30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Other</w:t>
      </w:r>
    </w:p>
    <w:p w14:paraId="21CD197C" w14:textId="4715BCB6" w:rsidR="00B75AAC" w:rsidRDefault="00B75AAC" w:rsidP="00B75AAC">
      <w:pPr>
        <w:pStyle w:val="ListParagraph"/>
        <w:numPr>
          <w:ilvl w:val="0"/>
          <w:numId w:val="1"/>
        </w:numPr>
      </w:pPr>
      <w:r>
        <w:lastRenderedPageBreak/>
        <w:t xml:space="preserve">Applicable </w:t>
      </w:r>
      <w:r>
        <w:t>Rules</w:t>
      </w:r>
      <w:r>
        <w:t xml:space="preserve"> (pie chart)</w:t>
      </w:r>
    </w:p>
    <w:p w14:paraId="54577978" w14:textId="5A4FEBCB" w:rsidR="00B75AAC" w:rsidRDefault="00B75AAC" w:rsidP="00B75AAC">
      <w:pPr>
        <w:pStyle w:val="ListParagraph"/>
        <w:numPr>
          <w:ilvl w:val="1"/>
          <w:numId w:val="1"/>
        </w:numPr>
      </w:pPr>
      <w:r>
        <w:t xml:space="preserve">Pulls data from Disputes: Applicable </w:t>
      </w:r>
      <w:r>
        <w:t>Arbitration Rules</w:t>
      </w:r>
      <w:r>
        <w:t xml:space="preserve"> and presents the number of </w:t>
      </w:r>
      <w:r>
        <w:t>disputes</w:t>
      </w:r>
      <w:r>
        <w:t xml:space="preserve"> based on the </w:t>
      </w:r>
      <w:r>
        <w:t>Arbitration Rules</w:t>
      </w:r>
      <w:r>
        <w:t xml:space="preserve">: </w:t>
      </w:r>
      <w:r>
        <w:t>Issuing Organization (display acronym only)</w:t>
      </w:r>
    </w:p>
    <w:p w14:paraId="5BE37A73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Cairo Regional Centre for International Commercial Arbitration = CRCICA</w:t>
      </w:r>
    </w:p>
    <w:p w14:paraId="40DD7F12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International Chamber of Commerce = ICC</w:t>
      </w:r>
    </w:p>
    <w:p w14:paraId="0C60A198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International Centre for Settlement of Investment Disputes = ICSID</w:t>
      </w:r>
    </w:p>
    <w:p w14:paraId="722405B4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London Court of International Arbitration = LCIA</w:t>
      </w:r>
    </w:p>
    <w:p w14:paraId="6AFBC126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Moscow Chamber of Commerce and Industry = MCCI</w:t>
      </w:r>
    </w:p>
    <w:p w14:paraId="572DCB42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Permanent Court of Arbitration = PCA</w:t>
      </w:r>
    </w:p>
    <w:p w14:paraId="12DB97F1" w14:textId="77777777" w:rsidR="00B75AAC" w:rsidRDefault="00B75AAC" w:rsidP="00B75AAC">
      <w:pPr>
        <w:pStyle w:val="ListParagraph"/>
        <w:numPr>
          <w:ilvl w:val="2"/>
          <w:numId w:val="1"/>
        </w:numPr>
      </w:pPr>
      <w:r>
        <w:t>Stockholm Chamber of Commerce = SCC</w:t>
      </w:r>
    </w:p>
    <w:p w14:paraId="3D091DE8" w14:textId="67B631C8" w:rsidR="00B75AAC" w:rsidRDefault="00B75AAC" w:rsidP="00B75AAC">
      <w:pPr>
        <w:pStyle w:val="ListParagraph"/>
        <w:numPr>
          <w:ilvl w:val="2"/>
          <w:numId w:val="1"/>
        </w:numPr>
      </w:pPr>
      <w:r>
        <w:t>United Nations Commission on International Trade Law = UNCITRAL</w:t>
      </w:r>
    </w:p>
    <w:p w14:paraId="57B9D2C7" w14:textId="7B603882" w:rsidR="00B75AAC" w:rsidRDefault="00B75AAC" w:rsidP="00B75AAC">
      <w:pPr>
        <w:pStyle w:val="ListParagraph"/>
        <w:numPr>
          <w:ilvl w:val="0"/>
          <w:numId w:val="1"/>
        </w:numPr>
      </w:pPr>
      <w:r>
        <w:t>Respondent State</w:t>
      </w:r>
      <w:r>
        <w:t xml:space="preserve"> (pie chart)</w:t>
      </w:r>
    </w:p>
    <w:p w14:paraId="0ED7F90F" w14:textId="1B1C21DA" w:rsidR="00B75AAC" w:rsidRDefault="00B75AAC" w:rsidP="00B75AAC">
      <w:pPr>
        <w:pStyle w:val="ListParagraph"/>
        <w:numPr>
          <w:ilvl w:val="1"/>
          <w:numId w:val="1"/>
        </w:numPr>
      </w:pPr>
      <w:r>
        <w:t xml:space="preserve">Pulls data from Disputes: </w:t>
      </w:r>
      <w:r>
        <w:t>Respondent State</w:t>
      </w:r>
      <w:r>
        <w:t xml:space="preserve"> and presents the number of disputes based on the </w:t>
      </w:r>
      <w:r>
        <w:t>Country</w:t>
      </w:r>
      <w:r>
        <w:t xml:space="preserve">: </w:t>
      </w:r>
      <w:r w:rsidR="000E66B5">
        <w:t>Region</w:t>
      </w:r>
    </w:p>
    <w:p w14:paraId="4819A58B" w14:textId="77777777" w:rsidR="000E66B5" w:rsidRDefault="00B75AAC" w:rsidP="00B75AAC">
      <w:pPr>
        <w:pStyle w:val="ListParagraph"/>
        <w:numPr>
          <w:ilvl w:val="2"/>
          <w:numId w:val="1"/>
        </w:numPr>
      </w:pPr>
      <w:r w:rsidRPr="00B75AAC">
        <w:t>East Asia and Pacific</w:t>
      </w:r>
    </w:p>
    <w:p w14:paraId="1A3A8DA5" w14:textId="77777777" w:rsidR="000E66B5" w:rsidRDefault="00B75AAC" w:rsidP="00B75AAC">
      <w:pPr>
        <w:pStyle w:val="ListParagraph"/>
        <w:numPr>
          <w:ilvl w:val="2"/>
          <w:numId w:val="1"/>
        </w:numPr>
      </w:pPr>
      <w:r w:rsidRPr="00B75AAC">
        <w:t>Europe and Central Asia</w:t>
      </w:r>
    </w:p>
    <w:p w14:paraId="0B28E638" w14:textId="77777777" w:rsidR="000E66B5" w:rsidRDefault="00B75AAC" w:rsidP="00B75AAC">
      <w:pPr>
        <w:pStyle w:val="ListParagraph"/>
        <w:numPr>
          <w:ilvl w:val="2"/>
          <w:numId w:val="1"/>
        </w:numPr>
      </w:pPr>
      <w:r w:rsidRPr="00B75AAC">
        <w:t>Latin America &amp; the Caribbean</w:t>
      </w:r>
    </w:p>
    <w:p w14:paraId="227AB758" w14:textId="77777777" w:rsidR="000E66B5" w:rsidRDefault="00B75AAC" w:rsidP="00B75AAC">
      <w:pPr>
        <w:pStyle w:val="ListParagraph"/>
        <w:numPr>
          <w:ilvl w:val="2"/>
          <w:numId w:val="1"/>
        </w:numPr>
      </w:pPr>
      <w:r w:rsidRPr="00B75AAC">
        <w:t>Middle East and North Africa</w:t>
      </w:r>
    </w:p>
    <w:p w14:paraId="7F8F4E60" w14:textId="77777777" w:rsidR="000E66B5" w:rsidRDefault="00B75AAC" w:rsidP="00B75AAC">
      <w:pPr>
        <w:pStyle w:val="ListParagraph"/>
        <w:numPr>
          <w:ilvl w:val="2"/>
          <w:numId w:val="1"/>
        </w:numPr>
      </w:pPr>
      <w:r w:rsidRPr="00B75AAC">
        <w:t>North America</w:t>
      </w:r>
    </w:p>
    <w:p w14:paraId="2B2B01E0" w14:textId="77777777" w:rsidR="000E66B5" w:rsidRDefault="00B75AAC" w:rsidP="00B75AAC">
      <w:pPr>
        <w:pStyle w:val="ListParagraph"/>
        <w:numPr>
          <w:ilvl w:val="2"/>
          <w:numId w:val="1"/>
        </w:numPr>
      </w:pPr>
      <w:r w:rsidRPr="00B75AAC">
        <w:t>South Asia</w:t>
      </w:r>
    </w:p>
    <w:p w14:paraId="53A0B7D9" w14:textId="214B6DE1" w:rsidR="00B75AAC" w:rsidRDefault="00B75AAC" w:rsidP="00B75AAC">
      <w:pPr>
        <w:pStyle w:val="ListParagraph"/>
        <w:numPr>
          <w:ilvl w:val="2"/>
          <w:numId w:val="1"/>
        </w:numPr>
      </w:pPr>
      <w:r w:rsidRPr="00B75AAC">
        <w:t>Sub-Saharan Africa</w:t>
      </w:r>
    </w:p>
    <w:p w14:paraId="65C327BA" w14:textId="7539765B" w:rsidR="000E66B5" w:rsidRDefault="000E66B5" w:rsidP="000E66B5">
      <w:pPr>
        <w:pStyle w:val="ListParagraph"/>
        <w:numPr>
          <w:ilvl w:val="0"/>
          <w:numId w:val="1"/>
        </w:numPr>
      </w:pPr>
      <w:r>
        <w:t>Claimant Nationalities (pie chart)</w:t>
      </w:r>
    </w:p>
    <w:p w14:paraId="66D028EB" w14:textId="1E22DC9C" w:rsidR="000E66B5" w:rsidRDefault="000E66B5" w:rsidP="000E66B5">
      <w:pPr>
        <w:pStyle w:val="ListParagraph"/>
        <w:numPr>
          <w:ilvl w:val="1"/>
          <w:numId w:val="1"/>
        </w:numPr>
      </w:pPr>
      <w:r>
        <w:t xml:space="preserve">Pulls data from Disputes: </w:t>
      </w:r>
      <w:r>
        <w:t>Claimant(s) &gt; Nationality</w:t>
      </w:r>
      <w:r>
        <w:t xml:space="preserve"> and presents the number of disputes based on the Country: Region</w:t>
      </w:r>
    </w:p>
    <w:p w14:paraId="5ABEA0ED" w14:textId="77777777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East Asia and Pacific</w:t>
      </w:r>
    </w:p>
    <w:p w14:paraId="5E3090F8" w14:textId="77777777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Europe and Central Asia</w:t>
      </w:r>
    </w:p>
    <w:p w14:paraId="08365104" w14:textId="77777777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Latin America &amp; the Caribbean</w:t>
      </w:r>
    </w:p>
    <w:p w14:paraId="26CEAE8B" w14:textId="77777777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Middle East and North Africa</w:t>
      </w:r>
    </w:p>
    <w:p w14:paraId="620AC4CA" w14:textId="77777777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North America</w:t>
      </w:r>
    </w:p>
    <w:p w14:paraId="522C5F5C" w14:textId="77777777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South Asia</w:t>
      </w:r>
    </w:p>
    <w:p w14:paraId="0B532E6E" w14:textId="754F0F8A" w:rsidR="000E66B5" w:rsidRDefault="000E66B5" w:rsidP="000E66B5">
      <w:pPr>
        <w:pStyle w:val="ListParagraph"/>
        <w:numPr>
          <w:ilvl w:val="2"/>
          <w:numId w:val="1"/>
        </w:numPr>
      </w:pPr>
      <w:r w:rsidRPr="00B75AAC">
        <w:t>Sub-Saharan Africa</w:t>
      </w:r>
    </w:p>
    <w:p w14:paraId="75141113" w14:textId="265DF7C2" w:rsidR="0074433B" w:rsidRDefault="0074433B" w:rsidP="0074433B">
      <w:pPr>
        <w:pStyle w:val="Heading1"/>
      </w:pPr>
      <w:r>
        <w:t>Individual People Profile</w:t>
      </w:r>
    </w:p>
    <w:p w14:paraId="7DF6903D" w14:textId="2FFABBCF" w:rsidR="0074433B" w:rsidRDefault="0074433B" w:rsidP="0074433B">
      <w:r>
        <w:t xml:space="preserve">Wireframe: </w:t>
      </w:r>
      <w:hyperlink r:id="rId9" w:history="1">
        <w:r w:rsidRPr="00C97A93">
          <w:rPr>
            <w:rStyle w:val="Hyperlink"/>
          </w:rPr>
          <w:t>https://projects.invisionapp.com/share/JET7XMPSQFW#/screens/418796771</w:t>
        </w:r>
      </w:hyperlink>
    </w:p>
    <w:p w14:paraId="6EECAAD6" w14:textId="40455939" w:rsidR="0074433B" w:rsidRDefault="0074433B" w:rsidP="0074433B">
      <w:pPr>
        <w:jc w:val="center"/>
      </w:pPr>
      <w:r>
        <w:rPr>
          <w:noProof/>
        </w:rPr>
        <w:lastRenderedPageBreak/>
        <w:drawing>
          <wp:inline distT="0" distB="0" distL="0" distR="0" wp14:anchorId="46BCF3EE" wp14:editId="47AC83B4">
            <wp:extent cx="3493698" cy="3863864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1554" cy="388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A876" w14:textId="77777777" w:rsidR="0074433B" w:rsidRPr="0074433B" w:rsidRDefault="0074433B" w:rsidP="0074433B"/>
    <w:p w14:paraId="2EBE7878" w14:textId="2D58097E" w:rsidR="00DE3C61" w:rsidRDefault="00DE3C61" w:rsidP="00DE3C61">
      <w:pPr>
        <w:pStyle w:val="ListParagraph"/>
        <w:numPr>
          <w:ilvl w:val="0"/>
          <w:numId w:val="1"/>
        </w:numPr>
      </w:pPr>
      <w:r>
        <w:t>Roles</w:t>
      </w:r>
      <w:r>
        <w:t xml:space="preserve"> (pie chart)</w:t>
      </w:r>
    </w:p>
    <w:p w14:paraId="387E780C" w14:textId="13D6CFC4" w:rsidR="000E66B5" w:rsidRDefault="00DE3C61" w:rsidP="000E66B5">
      <w:pPr>
        <w:pStyle w:val="ListParagraph"/>
        <w:numPr>
          <w:ilvl w:val="1"/>
          <w:numId w:val="1"/>
        </w:numPr>
      </w:pPr>
      <w:r>
        <w:t xml:space="preserve">Pulls data from </w:t>
      </w:r>
      <w:r>
        <w:t xml:space="preserve">Experience: Roles report (Roles (combined fields) </w:t>
      </w:r>
      <w:r>
        <w:t xml:space="preserve">and presents the number of disputes based on </w:t>
      </w:r>
      <w:r>
        <w:t>roles:</w:t>
      </w:r>
    </w:p>
    <w:p w14:paraId="3102D0E0" w14:textId="6AD06676" w:rsidR="00DE3C61" w:rsidRDefault="00DE3C61" w:rsidP="00DE3C61">
      <w:pPr>
        <w:pStyle w:val="ListParagraph"/>
        <w:numPr>
          <w:ilvl w:val="2"/>
          <w:numId w:val="1"/>
        </w:numPr>
      </w:pPr>
      <w:r>
        <w:t>Counsel (Claimant)</w:t>
      </w:r>
    </w:p>
    <w:p w14:paraId="5413E99B" w14:textId="2B1A8D03" w:rsidR="00DE3C61" w:rsidRDefault="00DE3C61" w:rsidP="00DE3C61">
      <w:pPr>
        <w:pStyle w:val="ListParagraph"/>
        <w:numPr>
          <w:ilvl w:val="2"/>
          <w:numId w:val="1"/>
        </w:numPr>
      </w:pPr>
      <w:r>
        <w:t>Counsel (Respondent)</w:t>
      </w:r>
    </w:p>
    <w:p w14:paraId="1AF5BD0C" w14:textId="34A0760C" w:rsidR="00DE3C61" w:rsidRDefault="00DE3C61" w:rsidP="00DE3C61">
      <w:pPr>
        <w:pStyle w:val="ListParagraph"/>
        <w:numPr>
          <w:ilvl w:val="2"/>
          <w:numId w:val="1"/>
        </w:numPr>
      </w:pPr>
      <w:r>
        <w:t>Tribunal Secretary</w:t>
      </w:r>
    </w:p>
    <w:p w14:paraId="606231C0" w14:textId="0ADD688E" w:rsidR="00DE3C61" w:rsidRDefault="00DE3C61" w:rsidP="00DE3C61">
      <w:pPr>
        <w:pStyle w:val="ListParagraph"/>
        <w:numPr>
          <w:ilvl w:val="2"/>
          <w:numId w:val="1"/>
        </w:numPr>
      </w:pPr>
      <w:r>
        <w:t>Arbitrator (President)</w:t>
      </w:r>
    </w:p>
    <w:p w14:paraId="321B7C07" w14:textId="6B00B9EB" w:rsidR="00DE3C61" w:rsidRDefault="00DE3C61" w:rsidP="00DE3C61">
      <w:pPr>
        <w:pStyle w:val="ListParagraph"/>
        <w:numPr>
          <w:ilvl w:val="2"/>
          <w:numId w:val="1"/>
        </w:numPr>
      </w:pPr>
      <w:r>
        <w:t>Arbitrator</w:t>
      </w:r>
    </w:p>
    <w:p w14:paraId="6371D3E2" w14:textId="59C68688" w:rsidR="00DE3C61" w:rsidRDefault="00DE3C61" w:rsidP="00DE3C61">
      <w:pPr>
        <w:pStyle w:val="ListParagraph"/>
        <w:numPr>
          <w:ilvl w:val="2"/>
          <w:numId w:val="1"/>
        </w:numPr>
      </w:pPr>
      <w:r>
        <w:t xml:space="preserve">Annulment </w:t>
      </w:r>
      <w:r>
        <w:t>Committee Member (President)</w:t>
      </w:r>
    </w:p>
    <w:p w14:paraId="20DA7FE9" w14:textId="4CDBE87E" w:rsidR="00DE3C61" w:rsidRDefault="00DE3C61" w:rsidP="00DE3C61">
      <w:pPr>
        <w:pStyle w:val="ListParagraph"/>
        <w:numPr>
          <w:ilvl w:val="2"/>
          <w:numId w:val="1"/>
        </w:numPr>
      </w:pPr>
      <w:r>
        <w:t xml:space="preserve">Annulment </w:t>
      </w:r>
      <w:r>
        <w:t>Committee Member</w:t>
      </w:r>
    </w:p>
    <w:p w14:paraId="32ED5650" w14:textId="2B7313E0" w:rsidR="00DE3C61" w:rsidRDefault="00DE3C61" w:rsidP="00DE3C61">
      <w:pPr>
        <w:pStyle w:val="ListParagraph"/>
        <w:numPr>
          <w:ilvl w:val="2"/>
          <w:numId w:val="1"/>
        </w:numPr>
      </w:pPr>
      <w:r>
        <w:t>Expert</w:t>
      </w:r>
    </w:p>
    <w:p w14:paraId="623F6C64" w14:textId="77777777" w:rsidR="00DE3C61" w:rsidRDefault="00DE3C61" w:rsidP="00DE3C61">
      <w:pPr>
        <w:pStyle w:val="ListParagraph"/>
        <w:numPr>
          <w:ilvl w:val="0"/>
          <w:numId w:val="1"/>
        </w:numPr>
      </w:pPr>
      <w:r>
        <w:t>Applicable Treaties (pie chart)</w:t>
      </w:r>
    </w:p>
    <w:p w14:paraId="362E19F6" w14:textId="2D232C84" w:rsidR="00DE3C61" w:rsidRDefault="00DE3C61" w:rsidP="00DE3C61">
      <w:pPr>
        <w:pStyle w:val="ListParagraph"/>
        <w:numPr>
          <w:ilvl w:val="1"/>
          <w:numId w:val="1"/>
        </w:numPr>
      </w:pPr>
      <w:r>
        <w:t>Pulls data from Disputes: Applicable Treaty and presents the number of disputes based on the Treaties: Treaty Type</w:t>
      </w:r>
      <w:r>
        <w:t xml:space="preserve"> where that person is associated with the dispute</w:t>
      </w:r>
    </w:p>
    <w:p w14:paraId="21A6BFD8" w14:textId="77777777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t>International Treaties &amp; Rules</w:t>
      </w:r>
    </w:p>
    <w:p w14:paraId="151A9444" w14:textId="77777777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t>Bilateral Investment Treaties (BITs)</w:t>
      </w:r>
    </w:p>
    <w:p w14:paraId="37B6C387" w14:textId="77777777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t>Free Trade Agreement (FTAs)</w:t>
      </w:r>
    </w:p>
    <w:p w14:paraId="7977EF2D" w14:textId="77777777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t>NAFTA</w:t>
      </w:r>
    </w:p>
    <w:p w14:paraId="091F8916" w14:textId="77777777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t>Regional/Sectoral Agreements</w:t>
      </w:r>
    </w:p>
    <w:p w14:paraId="19DACEA9" w14:textId="77777777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t>National Investment Law</w:t>
      </w:r>
    </w:p>
    <w:p w14:paraId="78CE33A4" w14:textId="2895A839" w:rsidR="00DE3C61" w:rsidRDefault="00DE3C61" w:rsidP="00DE3C61">
      <w:pPr>
        <w:pStyle w:val="ListParagraph"/>
        <w:numPr>
          <w:ilvl w:val="2"/>
          <w:numId w:val="1"/>
        </w:numPr>
      </w:pPr>
      <w:r w:rsidRPr="00B75AAC">
        <w:lastRenderedPageBreak/>
        <w:t>Other</w:t>
      </w:r>
    </w:p>
    <w:p w14:paraId="197AB814" w14:textId="77777777" w:rsidR="00DE3C61" w:rsidRDefault="00DE3C61" w:rsidP="00DE3C61">
      <w:pPr>
        <w:pStyle w:val="ListParagraph"/>
        <w:numPr>
          <w:ilvl w:val="0"/>
          <w:numId w:val="1"/>
        </w:numPr>
      </w:pPr>
      <w:r>
        <w:t>Applicable Rules (pie chart)</w:t>
      </w:r>
    </w:p>
    <w:p w14:paraId="13F49E13" w14:textId="3BD13845" w:rsidR="00DE3C61" w:rsidRDefault="00DE3C61" w:rsidP="00DE3C61">
      <w:pPr>
        <w:pStyle w:val="ListParagraph"/>
        <w:numPr>
          <w:ilvl w:val="1"/>
          <w:numId w:val="1"/>
        </w:numPr>
      </w:pPr>
      <w:r>
        <w:t>Pulls data from Disputes: Applicable Arbitration Rules and presents the number of disputes based on the Arbitration Rules: Issuing Organization (display acronym only)</w:t>
      </w:r>
      <w:r>
        <w:t xml:space="preserve"> </w:t>
      </w:r>
      <w:r>
        <w:t>where that person is associated with the dispute</w:t>
      </w:r>
    </w:p>
    <w:p w14:paraId="2A610B55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Cairo Regional Centre for International Commercial Arbitration = CRCICA</w:t>
      </w:r>
    </w:p>
    <w:p w14:paraId="67FC79D8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International Chamber of Commerce = ICC</w:t>
      </w:r>
    </w:p>
    <w:p w14:paraId="5BDB35A0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International Centre for Settlement of Investment Disputes = ICSID</w:t>
      </w:r>
    </w:p>
    <w:p w14:paraId="03A51305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London Court of International Arbitration = LCIA</w:t>
      </w:r>
    </w:p>
    <w:p w14:paraId="6ED75CC3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Moscow Chamber of Commerce and Industry = MCCI</w:t>
      </w:r>
    </w:p>
    <w:p w14:paraId="570E9CA6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Permanent Court of Arbitration = PCA</w:t>
      </w:r>
    </w:p>
    <w:p w14:paraId="669C773A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Stockholm Chamber of Commerce = SCC</w:t>
      </w:r>
    </w:p>
    <w:p w14:paraId="1B96CDA1" w14:textId="77777777" w:rsidR="00DE3C61" w:rsidRDefault="00DE3C61" w:rsidP="00DE3C61">
      <w:pPr>
        <w:pStyle w:val="ListParagraph"/>
        <w:numPr>
          <w:ilvl w:val="2"/>
          <w:numId w:val="1"/>
        </w:numPr>
      </w:pPr>
      <w:r>
        <w:t>United Nations Commission on International Trade Law = UNCITRAL</w:t>
      </w:r>
    </w:p>
    <w:p w14:paraId="10636D99" w14:textId="77777777" w:rsidR="00DE3C61" w:rsidRPr="004B6C4D" w:rsidRDefault="00DE3C61" w:rsidP="00DE3C61"/>
    <w:sectPr w:rsidR="00DE3C61" w:rsidRPr="004B6C4D" w:rsidSect="00B37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58" w:right="1080" w:bottom="1300" w:left="1080" w:header="792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41C52" w14:textId="77777777" w:rsidR="004B6C4D" w:rsidRDefault="004B6C4D" w:rsidP="00837AEC">
      <w:r>
        <w:separator/>
      </w:r>
    </w:p>
  </w:endnote>
  <w:endnote w:type="continuationSeparator" w:id="0">
    <w:p w14:paraId="4D18D931" w14:textId="77777777" w:rsidR="004B6C4D" w:rsidRDefault="004B6C4D" w:rsidP="008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A538D" w14:textId="77777777" w:rsidR="007A77F8" w:rsidRDefault="007A7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985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43B93" w14:textId="77777777" w:rsidR="00B378B7" w:rsidRDefault="00B37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C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E4CB8" w14:textId="77777777" w:rsidR="00F54F7A" w:rsidRDefault="00B378B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BFC89C" wp14:editId="047FB70E">
          <wp:simplePos x="0" y="0"/>
          <wp:positionH relativeFrom="margin">
            <wp:align>center</wp:align>
          </wp:positionH>
          <wp:positionV relativeFrom="page">
            <wp:posOffset>9424035</wp:posOffset>
          </wp:positionV>
          <wp:extent cx="8129016" cy="8229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016" cy="82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38F8" w14:textId="77777777" w:rsidR="00B378B7" w:rsidRDefault="00B378B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B64A8E" wp14:editId="1656FEA2">
          <wp:simplePos x="0" y="0"/>
          <wp:positionH relativeFrom="margin">
            <wp:align>center</wp:align>
          </wp:positionH>
          <wp:positionV relativeFrom="page">
            <wp:posOffset>9424035</wp:posOffset>
          </wp:positionV>
          <wp:extent cx="8129016" cy="8229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016" cy="82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92932" w14:textId="77777777" w:rsidR="004B6C4D" w:rsidRDefault="004B6C4D" w:rsidP="00837AEC">
      <w:r>
        <w:separator/>
      </w:r>
    </w:p>
  </w:footnote>
  <w:footnote w:type="continuationSeparator" w:id="0">
    <w:p w14:paraId="5E945C1F" w14:textId="77777777" w:rsidR="004B6C4D" w:rsidRDefault="004B6C4D" w:rsidP="0083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132DD" w14:textId="77777777" w:rsidR="007A77F8" w:rsidRDefault="007A7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6D69" w14:textId="77777777" w:rsidR="00837AEC" w:rsidRDefault="00837AEC" w:rsidP="00837AEC">
    <w:pPr>
      <w:pStyle w:val="Header"/>
    </w:pPr>
    <w:r>
      <w:rPr>
        <w:noProof/>
      </w:rPr>
      <w:drawing>
        <wp:inline distT="0" distB="0" distL="0" distR="0" wp14:anchorId="7FAF251A" wp14:editId="7D2F5AEA">
          <wp:extent cx="1423035" cy="3396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L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17" cy="38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E2B2" w14:textId="77777777" w:rsidR="00B378B7" w:rsidRDefault="007A77F8">
    <w:pPr>
      <w:pStyle w:val="Header"/>
    </w:pPr>
    <w:r>
      <w:rPr>
        <w:noProof/>
      </w:rPr>
      <w:drawing>
        <wp:inline distT="0" distB="0" distL="0" distR="0" wp14:anchorId="329E5846" wp14:editId="7FAD3424">
          <wp:extent cx="1438275" cy="342900"/>
          <wp:effectExtent l="0" t="0" r="9525" b="0"/>
          <wp:docPr id="1" name="Picture 1" descr="C:\Users\Morgan\AppData\Local\Microsoft\Windows\INetCache\Content.Word\IS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gan\AppData\Local\Microsoft\Windows\INetCache\Content.Word\ISL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10DEB"/>
    <w:multiLevelType w:val="hybridMultilevel"/>
    <w:tmpl w:val="31029C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4D"/>
    <w:rsid w:val="000C0BAC"/>
    <w:rsid w:val="000E66B5"/>
    <w:rsid w:val="002A58A9"/>
    <w:rsid w:val="004B6C4D"/>
    <w:rsid w:val="0054763D"/>
    <w:rsid w:val="006249A7"/>
    <w:rsid w:val="00635970"/>
    <w:rsid w:val="006C1C95"/>
    <w:rsid w:val="0074433B"/>
    <w:rsid w:val="007A77F8"/>
    <w:rsid w:val="00815155"/>
    <w:rsid w:val="00837AEC"/>
    <w:rsid w:val="008B6327"/>
    <w:rsid w:val="00B378B7"/>
    <w:rsid w:val="00B75AAC"/>
    <w:rsid w:val="00C669C7"/>
    <w:rsid w:val="00C74959"/>
    <w:rsid w:val="00CD5C8E"/>
    <w:rsid w:val="00D0287B"/>
    <w:rsid w:val="00DE3C61"/>
    <w:rsid w:val="00DF03D9"/>
    <w:rsid w:val="00E2291A"/>
    <w:rsid w:val="00F54F7A"/>
    <w:rsid w:val="00F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63D74"/>
  <w14:defaultImageDpi w14:val="32767"/>
  <w15:chartTrackingRefBased/>
  <w15:docId w15:val="{DBD0B701-972A-4595-B332-2AD77EB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91A"/>
    <w:pPr>
      <w:spacing w:after="20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327"/>
    <w:pPr>
      <w:keepNext/>
      <w:keepLines/>
      <w:spacing w:before="40"/>
      <w:outlineLvl w:val="0"/>
    </w:pPr>
    <w:rPr>
      <w:rFonts w:asciiTheme="majorHAnsi" w:eastAsiaTheme="majorEastAsia" w:hAnsiTheme="majorHAnsi" w:cstheme="majorBidi"/>
      <w:b/>
      <w:color w:val="1C44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C449C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9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327"/>
    <w:rPr>
      <w:rFonts w:asciiTheme="majorHAnsi" w:eastAsiaTheme="majorEastAsia" w:hAnsiTheme="majorHAnsi" w:cstheme="majorBidi"/>
      <w:b/>
      <w:color w:val="1C449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37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AEC"/>
  </w:style>
  <w:style w:type="paragraph" w:styleId="Footer">
    <w:name w:val="footer"/>
    <w:basedOn w:val="Normal"/>
    <w:link w:val="FooterChar"/>
    <w:uiPriority w:val="99"/>
    <w:unhideWhenUsed/>
    <w:rsid w:val="00837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AEC"/>
  </w:style>
  <w:style w:type="character" w:customStyle="1" w:styleId="Heading2Char">
    <w:name w:val="Heading 2 Char"/>
    <w:basedOn w:val="DefaultParagraphFont"/>
    <w:link w:val="Heading2"/>
    <w:uiPriority w:val="9"/>
    <w:rsid w:val="008B632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6327"/>
    <w:rPr>
      <w:rFonts w:asciiTheme="majorHAnsi" w:eastAsiaTheme="majorEastAsia" w:hAnsiTheme="majorHAnsi" w:cstheme="majorBidi"/>
      <w:color w:val="1C449C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249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6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jects.invisionapp.com/share/JET7XMPSQFW#/screens/41898487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rojects.invisionapp.com/share/JET7XMPSQFW#/screens/41879677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hared\Admin\Stationary%20Templates\ISL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ISLG Memo Template</Template>
  <TotalTime>39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Morgan's Laptop</dc:creator>
  <cp:keywords/>
  <dc:description/>
  <cp:lastModifiedBy>Morgan and Kim M</cp:lastModifiedBy>
  <cp:revision>3</cp:revision>
  <dcterms:created xsi:type="dcterms:W3CDTF">2020-07-06T18:15:00Z</dcterms:created>
  <dcterms:modified xsi:type="dcterms:W3CDTF">2020-07-06T18:54:00Z</dcterms:modified>
</cp:coreProperties>
</file>