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40C9" w:rsidRDefault="00F72F89">
      <w:pPr>
        <w:rPr>
          <w:b/>
        </w:rPr>
      </w:pPr>
      <w:r w:rsidRPr="001073A7">
        <w:rPr>
          <w:b/>
        </w:rPr>
        <w:t xml:space="preserve">To: </w:t>
      </w:r>
      <w:r w:rsidR="00FC4177">
        <w:rPr>
          <w:b/>
        </w:rPr>
        <w:t>Industrial</w:t>
      </w:r>
    </w:p>
    <w:p w:rsidR="006E40C9" w:rsidRDefault="0082057F">
      <w:pPr>
        <w:rPr>
          <w:b/>
        </w:rPr>
      </w:pPr>
      <w:r>
        <w:rPr>
          <w:b/>
        </w:rPr>
        <w:t>From:</w:t>
      </w:r>
      <w:r w:rsidR="00FC4177">
        <w:rPr>
          <w:b/>
        </w:rPr>
        <w:t xml:space="preserve"> Morgan</w:t>
      </w:r>
    </w:p>
    <w:p w:rsidR="0082057F" w:rsidRDefault="0082057F">
      <w:pPr>
        <w:rPr>
          <w:b/>
        </w:rPr>
      </w:pPr>
      <w:r>
        <w:rPr>
          <w:b/>
        </w:rPr>
        <w:t xml:space="preserve">Date: </w:t>
      </w:r>
      <w:r w:rsidR="00FC4177">
        <w:rPr>
          <w:b/>
        </w:rPr>
        <w:t>16 January 2018</w:t>
      </w:r>
    </w:p>
    <w:p w:rsidR="001179BD" w:rsidRDefault="0082057F" w:rsidP="00103FF7">
      <w:pPr>
        <w:pBdr>
          <w:bottom w:val="single" w:sz="6" w:space="1" w:color="auto"/>
        </w:pBdr>
        <w:spacing w:after="480"/>
        <w:rPr>
          <w:b/>
        </w:rPr>
      </w:pPr>
      <w:r>
        <w:rPr>
          <w:b/>
        </w:rPr>
        <w:t>Re:</w:t>
      </w:r>
      <w:r w:rsidR="00103FF7">
        <w:rPr>
          <w:b/>
        </w:rPr>
        <w:t xml:space="preserve"> </w:t>
      </w:r>
      <w:r w:rsidR="00FC4177">
        <w:rPr>
          <w:b/>
        </w:rPr>
        <w:t>ISLG User Profiles</w:t>
      </w:r>
    </w:p>
    <w:p w:rsidR="00E917B5" w:rsidRDefault="00FC4177" w:rsidP="001179BD">
      <w:r>
        <w:t>This memorandum provides an overview of the common user profiles for ISLG. The user profiles are ordered by relative importance</w:t>
      </w:r>
      <w:r w:rsidR="00E917B5">
        <w:t xml:space="preserve"> of the</w:t>
      </w:r>
      <w:r w:rsidR="00A20447">
        <w:t>ir</w:t>
      </w:r>
      <w:r w:rsidR="00E917B5">
        <w:t xml:space="preserve"> organization </w:t>
      </w:r>
      <w:r w:rsidR="00A20447">
        <w:t>type</w:t>
      </w:r>
      <w:r w:rsidR="00E917B5">
        <w:t>: law firms, governments, academic institutions and international organizations</w:t>
      </w:r>
      <w:r>
        <w:t>.</w:t>
      </w:r>
      <w:r w:rsidR="00E917B5">
        <w:t xml:space="preserve"> Their relative importance is </w:t>
      </w:r>
      <w:r w:rsidR="00A20447">
        <w:t>measure</w:t>
      </w:r>
      <w:r w:rsidR="00C95D71">
        <w:t>d</w:t>
      </w:r>
      <w:r w:rsidR="00A20447">
        <w:t xml:space="preserve"> </w:t>
      </w:r>
      <w:r w:rsidR="00C95D71">
        <w:t>by</w:t>
      </w:r>
      <w:r w:rsidR="00E917B5">
        <w:t xml:space="preserve"> their </w:t>
      </w:r>
      <w:r w:rsidR="00A20447">
        <w:t xml:space="preserve">ability to generate subscription </w:t>
      </w:r>
      <w:r w:rsidR="00E917B5">
        <w:t xml:space="preserve">revenue, </w:t>
      </w:r>
      <w:r w:rsidR="00A20447">
        <w:t>rather than their</w:t>
      </w:r>
      <w:r w:rsidR="00E917B5">
        <w:t xml:space="preserve"> </w:t>
      </w:r>
      <w:r w:rsidR="00C95D71">
        <w:t>volume of ISLG use</w:t>
      </w:r>
      <w:r w:rsidR="00E917B5">
        <w:t xml:space="preserve"> (e.g., academic institutions </w:t>
      </w:r>
      <w:r w:rsidR="00A20447">
        <w:t xml:space="preserve">are </w:t>
      </w:r>
      <w:r w:rsidR="00E917B5">
        <w:t>a sizeable</w:t>
      </w:r>
      <w:r w:rsidR="00A20447">
        <w:t xml:space="preserve"> portion of</w:t>
      </w:r>
      <w:r w:rsidR="00E917B5">
        <w:t xml:space="preserve"> </w:t>
      </w:r>
      <w:r w:rsidR="00A20447">
        <w:t xml:space="preserve">the </w:t>
      </w:r>
      <w:r w:rsidR="00E917B5">
        <w:t>user</w:t>
      </w:r>
      <w:r w:rsidR="00A20447">
        <w:t xml:space="preserve"> </w:t>
      </w:r>
      <w:r w:rsidR="00E917B5">
        <w:t xml:space="preserve">base, but have </w:t>
      </w:r>
      <w:r w:rsidR="00A20447">
        <w:t>a relatively</w:t>
      </w:r>
      <w:r w:rsidR="00E917B5">
        <w:t xml:space="preserve"> small revenue </w:t>
      </w:r>
      <w:r w:rsidR="00A20447">
        <w:t>footprint</w:t>
      </w:r>
      <w:r w:rsidR="00E917B5">
        <w:t>).</w:t>
      </w:r>
    </w:p>
    <w:p w:rsidR="001179BD" w:rsidRDefault="00E917B5" w:rsidP="001179BD">
      <w:r>
        <w:t xml:space="preserve">Before describing the individual user profiles below, it’s important to establish two types of research that </w:t>
      </w:r>
      <w:r w:rsidR="00A20447">
        <w:t xml:space="preserve">apply to the </w:t>
      </w:r>
      <w:r>
        <w:t xml:space="preserve">user profiles: (1) dispute research and (2) </w:t>
      </w:r>
      <w:r w:rsidR="00A41688">
        <w:t>advisory research. Dispute research refers to research performed on ISLG for the purpose of preparing submi</w:t>
      </w:r>
      <w:r w:rsidR="00957D2C">
        <w:t>ssions for an arbitration</w:t>
      </w:r>
      <w:r w:rsidR="00A20447">
        <w:t xml:space="preserve"> proceeding</w:t>
      </w:r>
      <w:r w:rsidR="00957D2C">
        <w:t xml:space="preserve">. Advisory research refers to research performed on ISLG for the purpose of providing advice on how to structure a transaction or negotiate the terms of an agreement. Dispute research </w:t>
      </w:r>
      <w:r w:rsidR="003C4AA8">
        <w:t>is typically much more intensive</w:t>
      </w:r>
      <w:r w:rsidR="00C95D71">
        <w:t>, and</w:t>
      </w:r>
      <w:r w:rsidR="003C4AA8">
        <w:t xml:space="preserve"> over </w:t>
      </w:r>
      <w:r w:rsidR="00A20447">
        <w:t xml:space="preserve">a </w:t>
      </w:r>
      <w:r w:rsidR="003C4AA8">
        <w:t xml:space="preserve">long period of time. Advisory research is typically less intensive, and requires broader surveys of content. ISLG is used for both types of research, but its utility for advisory research is limited </w:t>
      </w:r>
      <w:r w:rsidR="00C95D71">
        <w:t>by</w:t>
      </w:r>
      <w:r w:rsidR="003C4AA8">
        <w:t xml:space="preserve"> its limited capacity for document comparison and data analytics.</w:t>
      </w:r>
    </w:p>
    <w:p w:rsidR="00FC4177" w:rsidRDefault="00FC4177" w:rsidP="00FC4177">
      <w:pPr>
        <w:pStyle w:val="ListParagraph"/>
        <w:numPr>
          <w:ilvl w:val="0"/>
          <w:numId w:val="10"/>
        </w:numPr>
      </w:pPr>
      <w:r>
        <w:rPr>
          <w:b/>
        </w:rPr>
        <w:t>Junior Lawyers:</w:t>
      </w:r>
      <w:r>
        <w:t xml:space="preserve"> Law firms are the primary users for ISLG, and junior lawyers and students (less than 3</w:t>
      </w:r>
      <w:r w:rsidR="00C95D71">
        <w:t>-4</w:t>
      </w:r>
      <w:r>
        <w:t xml:space="preserve"> years’ experience) are usually doing the heavy lifting for research tasks that would require ISLG. Although junior lawyers usually have experience using online legal research products</w:t>
      </w:r>
      <w:r w:rsidR="00A20447">
        <w:t>, they usually have limited</w:t>
      </w:r>
      <w:r>
        <w:t xml:space="preserve"> knowledge of sophisticated searching techniques (e.g., </w:t>
      </w:r>
      <w:r w:rsidR="00A20447">
        <w:t xml:space="preserve">effectively using </w:t>
      </w:r>
      <w:r>
        <w:t>Boolean search operators).</w:t>
      </w:r>
    </w:p>
    <w:p w:rsidR="00E917B5" w:rsidRDefault="00E917B5" w:rsidP="00E917B5">
      <w:pPr>
        <w:pStyle w:val="ListParagraph"/>
        <w:ind w:left="360"/>
      </w:pPr>
    </w:p>
    <w:p w:rsidR="00E917B5" w:rsidRDefault="00005948" w:rsidP="00FC4177">
      <w:pPr>
        <w:pStyle w:val="ListParagraph"/>
        <w:numPr>
          <w:ilvl w:val="0"/>
          <w:numId w:val="10"/>
        </w:numPr>
      </w:pPr>
      <w:r>
        <w:rPr>
          <w:b/>
        </w:rPr>
        <w:t xml:space="preserve">Research Specialists: </w:t>
      </w:r>
      <w:r>
        <w:t xml:space="preserve">Depending on the size of the organization, </w:t>
      </w:r>
      <w:r w:rsidR="00E917B5">
        <w:t xml:space="preserve">firms </w:t>
      </w:r>
      <w:r w:rsidR="00C95D71">
        <w:t xml:space="preserve">frequently have librarians, </w:t>
      </w:r>
      <w:r w:rsidR="00E917B5">
        <w:t>paralegals</w:t>
      </w:r>
      <w:r w:rsidR="00C95D71">
        <w:t xml:space="preserve"> and other knowledge management professionals</w:t>
      </w:r>
      <w:r w:rsidR="00E917B5">
        <w:t xml:space="preserve"> that specialize in performing research on behalf of lawyers. Research </w:t>
      </w:r>
      <w:r w:rsidR="00A20447">
        <w:t>s</w:t>
      </w:r>
      <w:r w:rsidR="00E917B5">
        <w:t>pecialists have more limited knowledge of the law</w:t>
      </w:r>
      <w:r w:rsidR="00BF61F4">
        <w:t xml:space="preserve"> (i.e., content)</w:t>
      </w:r>
      <w:r w:rsidR="00E917B5">
        <w:t xml:space="preserve">, but </w:t>
      </w:r>
      <w:r w:rsidR="00A20447">
        <w:t>are</w:t>
      </w:r>
      <w:r w:rsidR="00E917B5">
        <w:t xml:space="preserve"> very knowledgeable and experienced with using online legal research product</w:t>
      </w:r>
      <w:r w:rsidR="00C95D71">
        <w:t>s</w:t>
      </w:r>
      <w:r w:rsidR="00E917B5">
        <w:t xml:space="preserve"> and performing sophisticated research tasks.</w:t>
      </w:r>
    </w:p>
    <w:p w:rsidR="00E917B5" w:rsidRDefault="00E917B5" w:rsidP="00E917B5">
      <w:pPr>
        <w:pStyle w:val="ListParagraph"/>
      </w:pPr>
    </w:p>
    <w:p w:rsidR="00BF61F4" w:rsidRDefault="00E917B5" w:rsidP="00BF61F4">
      <w:pPr>
        <w:pStyle w:val="ListParagraph"/>
        <w:numPr>
          <w:ilvl w:val="0"/>
          <w:numId w:val="10"/>
        </w:numPr>
      </w:pPr>
      <w:r>
        <w:rPr>
          <w:b/>
        </w:rPr>
        <w:t>Senior Lawyers:</w:t>
      </w:r>
      <w:r w:rsidR="00C95D71">
        <w:t xml:space="preserve"> S</w:t>
      </w:r>
      <w:r w:rsidR="00BF61F4">
        <w:t>enior lawyers a very knowledgeable in the law, but have a range of experience with online legal research products. Some have never used ISLG before, but are aware of its capabilities, and give junior lawyers or research specialist</w:t>
      </w:r>
      <w:r w:rsidR="00C95D71">
        <w:t>s</w:t>
      </w:r>
      <w:r w:rsidR="00BF61F4">
        <w:t xml:space="preserve"> instructions on </w:t>
      </w:r>
      <w:r w:rsidR="00C95D71">
        <w:t xml:space="preserve">performing </w:t>
      </w:r>
      <w:r w:rsidR="00A20447">
        <w:t xml:space="preserve">research </w:t>
      </w:r>
      <w:r w:rsidR="00C95D71">
        <w:t xml:space="preserve">tasks </w:t>
      </w:r>
      <w:r w:rsidR="00BF61F4">
        <w:t xml:space="preserve">using ISLG. Other senior lawyers have </w:t>
      </w:r>
      <w:r w:rsidR="00A20447">
        <w:t xml:space="preserve">had </w:t>
      </w:r>
      <w:r w:rsidR="00BF61F4">
        <w:t xml:space="preserve">experience using ISLG when they were </w:t>
      </w:r>
      <w:r w:rsidR="00A20447">
        <w:t>more junior</w:t>
      </w:r>
      <w:r w:rsidR="00BF61F4">
        <w:t xml:space="preserve">, and still use </w:t>
      </w:r>
      <w:r w:rsidR="00BF61F4">
        <w:lastRenderedPageBreak/>
        <w:t xml:space="preserve">it to quickly find content relevant to what they are working on. Although senior lawyers are not high volume users, they are important, because they provide </w:t>
      </w:r>
      <w:r w:rsidR="00A20447">
        <w:t xml:space="preserve">the </w:t>
      </w:r>
      <w:r w:rsidR="00BF61F4">
        <w:t xml:space="preserve">instructions </w:t>
      </w:r>
      <w:r w:rsidR="00A20447">
        <w:t>for researchers using ISLG</w:t>
      </w:r>
      <w:r w:rsidR="00BF61F4">
        <w:t>.</w:t>
      </w:r>
    </w:p>
    <w:p w:rsidR="00BF61F4" w:rsidRDefault="00BF61F4" w:rsidP="00BF61F4">
      <w:pPr>
        <w:pStyle w:val="ListParagraph"/>
      </w:pPr>
    </w:p>
    <w:p w:rsidR="00BF61F4" w:rsidRDefault="00BF61F4" w:rsidP="00BF61F4">
      <w:pPr>
        <w:pStyle w:val="ListParagraph"/>
        <w:numPr>
          <w:ilvl w:val="0"/>
          <w:numId w:val="10"/>
        </w:numPr>
      </w:pPr>
      <w:r>
        <w:rPr>
          <w:b/>
        </w:rPr>
        <w:t>Government Dispute Lawyer</w:t>
      </w:r>
      <w:r w:rsidR="00A20447">
        <w:rPr>
          <w:b/>
        </w:rPr>
        <w:t>s</w:t>
      </w:r>
      <w:r>
        <w:rPr>
          <w:b/>
        </w:rPr>
        <w:t xml:space="preserve">: </w:t>
      </w:r>
      <w:r>
        <w:t>Government dispute lawyers are directly involved in arbitration</w:t>
      </w:r>
      <w:r w:rsidR="00A20447">
        <w:t>s</w:t>
      </w:r>
      <w:r>
        <w:t xml:space="preserve"> against their respective governments. Depending on the capacity and sophistication of the government’s legal team, government dispute lawyers may be performing the primary research in preparation for t</w:t>
      </w:r>
      <w:r w:rsidR="00A20447">
        <w:t xml:space="preserve">he arbitration, or overseeing work performed by </w:t>
      </w:r>
      <w:r>
        <w:t xml:space="preserve">outside </w:t>
      </w:r>
      <w:r w:rsidR="00A20447">
        <w:t xml:space="preserve">legal </w:t>
      </w:r>
      <w:r>
        <w:t>counsel re</w:t>
      </w:r>
      <w:r w:rsidR="00C95D71">
        <w:t>tained for the arbitration (e.g.</w:t>
      </w:r>
      <w:r>
        <w:t xml:space="preserve">, </w:t>
      </w:r>
      <w:r w:rsidR="00C45348">
        <w:t xml:space="preserve">most </w:t>
      </w:r>
      <w:r>
        <w:t xml:space="preserve">governments retain private law firms to </w:t>
      </w:r>
      <w:r w:rsidR="006577C9">
        <w:t>litigate</w:t>
      </w:r>
      <w:r w:rsidR="00C95D71">
        <w:t xml:space="preserve"> specific</w:t>
      </w:r>
      <w:r w:rsidR="006577C9">
        <w:t xml:space="preserve"> arbitration</w:t>
      </w:r>
      <w:r w:rsidR="00C45348">
        <w:t xml:space="preserve"> proceedings</w:t>
      </w:r>
      <w:r w:rsidR="006577C9">
        <w:t>). In the former example, government dispute lawyers mimic the roles of junior</w:t>
      </w:r>
      <w:r w:rsidR="00C95D71">
        <w:t xml:space="preserve"> and senior lawyers </w:t>
      </w:r>
      <w:r w:rsidR="006577C9">
        <w:t>within law firms. In the latter example, government dispute lawyers perform less primary research, but use ISLG to keep them informed of the legal issues arising during the case.</w:t>
      </w:r>
    </w:p>
    <w:p w:rsidR="006577C9" w:rsidRDefault="006577C9" w:rsidP="006577C9">
      <w:pPr>
        <w:pStyle w:val="ListParagraph"/>
      </w:pPr>
    </w:p>
    <w:p w:rsidR="006577C9" w:rsidRDefault="006577C9" w:rsidP="00BF61F4">
      <w:pPr>
        <w:pStyle w:val="ListParagraph"/>
        <w:numPr>
          <w:ilvl w:val="0"/>
          <w:numId w:val="10"/>
        </w:numPr>
      </w:pPr>
      <w:r>
        <w:rPr>
          <w:b/>
        </w:rPr>
        <w:t xml:space="preserve">Government </w:t>
      </w:r>
      <w:r w:rsidR="004E3C0A">
        <w:rPr>
          <w:b/>
        </w:rPr>
        <w:t>Advisory</w:t>
      </w:r>
      <w:r>
        <w:rPr>
          <w:b/>
        </w:rPr>
        <w:t xml:space="preserve"> Lawyer</w:t>
      </w:r>
      <w:r w:rsidR="00A20447">
        <w:rPr>
          <w:b/>
        </w:rPr>
        <w:t>s</w:t>
      </w:r>
      <w:r>
        <w:rPr>
          <w:b/>
        </w:rPr>
        <w:t xml:space="preserve">: </w:t>
      </w:r>
      <w:r>
        <w:t xml:space="preserve">Government advisory lawyers provide legal advice to their </w:t>
      </w:r>
      <w:r w:rsidR="00C95D71">
        <w:t xml:space="preserve">respective </w:t>
      </w:r>
      <w:r>
        <w:t>government</w:t>
      </w:r>
      <w:r w:rsidR="00C95D71">
        <w:t>s</w:t>
      </w:r>
      <w:r>
        <w:t xml:space="preserve"> on the effects of international investment treaties. The advice may be given in the context of negotiating a treaty with another country, or providing advice to government departments on </w:t>
      </w:r>
      <w:r w:rsidR="00C45348">
        <w:t xml:space="preserve">the </w:t>
      </w:r>
      <w:r>
        <w:t>international legal effects of a propose</w:t>
      </w:r>
      <w:r w:rsidR="00C95D71">
        <w:t>d</w:t>
      </w:r>
      <w:r>
        <w:t xml:space="preserve"> </w:t>
      </w:r>
      <w:r w:rsidR="00C95D71">
        <w:t>policy (e.g.</w:t>
      </w:r>
      <w:r w:rsidR="00C45348">
        <w:t xml:space="preserve">, advising whether </w:t>
      </w:r>
      <w:r w:rsidR="00C95D71">
        <w:t xml:space="preserve">a </w:t>
      </w:r>
      <w:r w:rsidR="004E3C0A">
        <w:t>policy breach</w:t>
      </w:r>
      <w:r w:rsidR="00C45348">
        <w:t xml:space="preserve">es </w:t>
      </w:r>
      <w:r w:rsidR="00C95D71">
        <w:t xml:space="preserve">the </w:t>
      </w:r>
      <w:r w:rsidR="00C45348">
        <w:t>government’s</w:t>
      </w:r>
      <w:r w:rsidR="004E3C0A">
        <w:t xml:space="preserve"> international obligations). ISLG is used by</w:t>
      </w:r>
      <w:r w:rsidR="00C45348">
        <w:t xml:space="preserve"> government advisory lawyers to</w:t>
      </w:r>
      <w:r w:rsidR="004E3C0A">
        <w:t xml:space="preserve"> inform them of the substantive standards contained in investment treaties; however, as described above, ISLG is limited in its capacity to be a comprehensive tool, because it does not provide </w:t>
      </w:r>
      <w:r w:rsidR="00C45348">
        <w:t>document comparison</w:t>
      </w:r>
      <w:r w:rsidR="004E3C0A">
        <w:t xml:space="preserve"> information.</w:t>
      </w:r>
    </w:p>
    <w:p w:rsidR="004E3C0A" w:rsidRDefault="004E3C0A" w:rsidP="004E3C0A">
      <w:pPr>
        <w:pStyle w:val="ListParagraph"/>
      </w:pPr>
    </w:p>
    <w:p w:rsidR="004E3C0A" w:rsidRDefault="004E3C0A" w:rsidP="00BF61F4">
      <w:pPr>
        <w:pStyle w:val="ListParagraph"/>
        <w:numPr>
          <w:ilvl w:val="0"/>
          <w:numId w:val="10"/>
        </w:numPr>
      </w:pPr>
      <w:r>
        <w:rPr>
          <w:b/>
        </w:rPr>
        <w:t>Academic</w:t>
      </w:r>
      <w:r w:rsidR="00A20447">
        <w:rPr>
          <w:b/>
        </w:rPr>
        <w:t>s</w:t>
      </w:r>
      <w:r>
        <w:rPr>
          <w:b/>
        </w:rPr>
        <w:t xml:space="preserve">: </w:t>
      </w:r>
      <w:r>
        <w:t>University faculty members and lawyers use ISLG to perfo</w:t>
      </w:r>
      <w:r w:rsidR="00C45348">
        <w:t>rm primary research necessary for</w:t>
      </w:r>
      <w:r>
        <w:t xml:space="preserve"> writing </w:t>
      </w:r>
      <w:r w:rsidR="00C45348">
        <w:t>publications</w:t>
      </w:r>
      <w:r>
        <w:t xml:space="preserve"> related to international investment treaty law. Depending on the scope of the publication, academics’ use of ISLG </w:t>
      </w:r>
      <w:r w:rsidR="00C95D71">
        <w:t>can</w:t>
      </w:r>
      <w:r>
        <w:t xml:space="preserve"> range from high to low.</w:t>
      </w:r>
    </w:p>
    <w:p w:rsidR="004E3C0A" w:rsidRDefault="004E3C0A" w:rsidP="004E3C0A">
      <w:pPr>
        <w:pStyle w:val="ListParagraph"/>
      </w:pPr>
    </w:p>
    <w:p w:rsidR="004E3C0A" w:rsidRDefault="004E3C0A" w:rsidP="00BF61F4">
      <w:pPr>
        <w:pStyle w:val="ListParagraph"/>
        <w:numPr>
          <w:ilvl w:val="0"/>
          <w:numId w:val="10"/>
        </w:numPr>
      </w:pPr>
      <w:r>
        <w:rPr>
          <w:b/>
        </w:rPr>
        <w:t>Student</w:t>
      </w:r>
      <w:r w:rsidR="00A20447">
        <w:rPr>
          <w:b/>
        </w:rPr>
        <w:t>s</w:t>
      </w:r>
      <w:r>
        <w:t xml:space="preserve">: </w:t>
      </w:r>
      <w:r w:rsidR="00C95D71">
        <w:t>S</w:t>
      </w:r>
      <w:r w:rsidR="00630116">
        <w:t xml:space="preserve">tudents use ISLG for both their course work and preparing for moot arbitration competitions. The latter form of student research can result in very high usage of ISLG, and </w:t>
      </w:r>
      <w:r w:rsidR="006D5BA2">
        <w:t xml:space="preserve">is </w:t>
      </w:r>
      <w:r w:rsidR="00630116">
        <w:t>increasingly</w:t>
      </w:r>
      <w:bookmarkStart w:id="0" w:name="_GoBack"/>
      <w:bookmarkEnd w:id="0"/>
      <w:r w:rsidR="00630116">
        <w:t xml:space="preserve"> a focus for academic institutions when they are making </w:t>
      </w:r>
      <w:r w:rsidR="006D5BA2">
        <w:t xml:space="preserve">subscription acquisition </w:t>
      </w:r>
      <w:r w:rsidR="00630116">
        <w:t>decisions. The type of research performed for moot competitions is similar to the research performed by junior lawyers, because the competitions are meant to mimic real arbitration work.</w:t>
      </w:r>
    </w:p>
    <w:p w:rsidR="00630116" w:rsidRDefault="00630116" w:rsidP="00630116">
      <w:pPr>
        <w:pStyle w:val="ListParagraph"/>
      </w:pPr>
    </w:p>
    <w:p w:rsidR="00630116" w:rsidRPr="001179BD" w:rsidRDefault="00630116" w:rsidP="00BF61F4">
      <w:pPr>
        <w:pStyle w:val="ListParagraph"/>
        <w:numPr>
          <w:ilvl w:val="0"/>
          <w:numId w:val="10"/>
        </w:numPr>
      </w:pPr>
      <w:r>
        <w:rPr>
          <w:b/>
        </w:rPr>
        <w:t>NGO lawyer</w:t>
      </w:r>
      <w:r w:rsidR="00A20447">
        <w:rPr>
          <w:b/>
        </w:rPr>
        <w:t>s</w:t>
      </w:r>
      <w:r>
        <w:rPr>
          <w:b/>
        </w:rPr>
        <w:t xml:space="preserve">: </w:t>
      </w:r>
      <w:r>
        <w:t>NGO lawyers use ISLG for the purpose of drafting publications concerning international investment treaty law. There is a range of subject</w:t>
      </w:r>
      <w:r w:rsidR="006D5BA2">
        <w:t>s</w:t>
      </w:r>
      <w:r>
        <w:t xml:space="preserve"> relevant to NGO lawyers</w:t>
      </w:r>
      <w:r w:rsidR="006D5BA2">
        <w:t>’ work</w:t>
      </w:r>
      <w:r>
        <w:t>; however, a common subject is looking at how investment treaty law affect</w:t>
      </w:r>
      <w:r w:rsidR="006D5BA2">
        <w:t xml:space="preserve">s </w:t>
      </w:r>
      <w:r>
        <w:t xml:space="preserve">public policy (and vice-versa). As a result, ISLG is </w:t>
      </w:r>
      <w:r w:rsidR="006D5BA2">
        <w:t>frequently</w:t>
      </w:r>
      <w:r>
        <w:t xml:space="preserve"> used in this context </w:t>
      </w:r>
      <w:r w:rsidR="006D5BA2">
        <w:t>of i</w:t>
      </w:r>
      <w:r>
        <w:t>nform</w:t>
      </w:r>
      <w:r w:rsidR="006D5BA2">
        <w:t>ing</w:t>
      </w:r>
      <w:r>
        <w:t xml:space="preserve"> the NGO lawyer of substantive </w:t>
      </w:r>
      <w:r>
        <w:lastRenderedPageBreak/>
        <w:t>obligations and conduct</w:t>
      </w:r>
      <w:r w:rsidR="006D5BA2">
        <w:t>ing</w:t>
      </w:r>
      <w:r>
        <w:t xml:space="preserve"> surveys of </w:t>
      </w:r>
      <w:r w:rsidR="006D5BA2">
        <w:t>content</w:t>
      </w:r>
      <w:r>
        <w:t>. As described above, ISLG is limited in its capacity to provide survey</w:t>
      </w:r>
      <w:r w:rsidR="006D5BA2">
        <w:t>s of content</w:t>
      </w:r>
      <w:r>
        <w:t>.</w:t>
      </w:r>
    </w:p>
    <w:sectPr w:rsidR="00630116" w:rsidRPr="001179BD" w:rsidSect="001179BD">
      <w:headerReference w:type="default" r:id="rId8"/>
      <w:footerReference w:type="default" r:id="rId9"/>
      <w:headerReference w:type="first" r:id="rId10"/>
      <w:type w:val="continuous"/>
      <w:pgSz w:w="12240" w:h="15840"/>
      <w:pgMar w:top="1440" w:right="1440" w:bottom="1440" w:left="1440" w:header="708" w:footer="708" w:gutter="0"/>
      <w:pgNumType w:fmt="numberInDash"/>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45D9" w:rsidRDefault="007045D9" w:rsidP="00376C59">
      <w:pPr>
        <w:spacing w:after="0" w:line="240" w:lineRule="auto"/>
      </w:pPr>
      <w:r>
        <w:separator/>
      </w:r>
    </w:p>
  </w:endnote>
  <w:endnote w:type="continuationSeparator" w:id="0">
    <w:p w:rsidR="007045D9" w:rsidRDefault="007045D9" w:rsidP="00376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1A07" w:rsidRDefault="004F1A07">
    <w:pPr>
      <w:pStyle w:val="Footer"/>
      <w:jc w:val="center"/>
    </w:pPr>
    <w:r>
      <w:t>-</w:t>
    </w:r>
    <w:r>
      <w:fldChar w:fldCharType="begin"/>
    </w:r>
    <w:r>
      <w:instrText xml:space="preserve"> PAGE   \* MERGEFORMAT </w:instrText>
    </w:r>
    <w:r>
      <w:fldChar w:fldCharType="separate"/>
    </w:r>
    <w:r w:rsidR="00A21DCD">
      <w:rPr>
        <w:noProof/>
      </w:rPr>
      <w:t>- 3 -</w:t>
    </w:r>
    <w:r>
      <w:rPr>
        <w:noProof/>
      </w:rPr>
      <w:fldChar w:fldCharType="end"/>
    </w:r>
    <w:r>
      <w:rPr>
        <w:noProof/>
      </w:rPr>
      <w:t>-</w:t>
    </w:r>
  </w:p>
  <w:p w:rsidR="004F1A07" w:rsidRDefault="004F1A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45D9" w:rsidRDefault="007045D9" w:rsidP="00376C59">
      <w:pPr>
        <w:spacing w:after="0" w:line="240" w:lineRule="auto"/>
      </w:pPr>
      <w:r>
        <w:separator/>
      </w:r>
    </w:p>
  </w:footnote>
  <w:footnote w:type="continuationSeparator" w:id="0">
    <w:p w:rsidR="007045D9" w:rsidRDefault="007045D9" w:rsidP="00376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4625"/>
      <w:gridCol w:w="4735"/>
    </w:tblGrid>
    <w:tr w:rsidR="004F1A07" w:rsidTr="000C1EEB">
      <w:tc>
        <w:tcPr>
          <w:tcW w:w="4788" w:type="dxa"/>
          <w:shd w:val="clear" w:color="auto" w:fill="auto"/>
        </w:tcPr>
        <w:p w:rsidR="004F1A07" w:rsidRPr="005803D7" w:rsidRDefault="004F1A07" w:rsidP="000C1EEB">
          <w:pPr>
            <w:autoSpaceDE w:val="0"/>
            <w:autoSpaceDN w:val="0"/>
            <w:adjustRightInd w:val="0"/>
            <w:spacing w:after="0" w:line="240" w:lineRule="auto"/>
            <w:rPr>
              <w:rFonts w:cs="Calibri"/>
              <w:sz w:val="12"/>
              <w:szCs w:val="12"/>
              <w:lang w:eastAsia="en-CA"/>
            </w:rPr>
          </w:pPr>
          <w:r w:rsidRPr="005803D7">
            <w:rPr>
              <w:rFonts w:cs="Calibri"/>
              <w:b/>
              <w:bCs/>
              <w:sz w:val="20"/>
              <w:szCs w:val="20"/>
              <w:lang w:eastAsia="en-CA"/>
            </w:rPr>
            <w:t xml:space="preserve">Investor-State </w:t>
          </w:r>
          <w:proofErr w:type="spellStart"/>
          <w:r w:rsidRPr="005803D7">
            <w:rPr>
              <w:rFonts w:cs="Calibri"/>
              <w:b/>
              <w:bCs/>
              <w:sz w:val="20"/>
              <w:szCs w:val="20"/>
              <w:lang w:eastAsia="en-CA"/>
            </w:rPr>
            <w:t>LawGuide</w:t>
          </w:r>
          <w:proofErr w:type="spellEnd"/>
          <w:r w:rsidRPr="005803D7">
            <w:rPr>
              <w:rFonts w:cs="Calibri"/>
              <w:vertAlign w:val="superscript"/>
              <w:lang w:eastAsia="en-CA"/>
            </w:rPr>
            <w:t>™</w:t>
          </w:r>
        </w:p>
        <w:p w:rsidR="004F1A07" w:rsidRPr="005803D7" w:rsidRDefault="004F1A07" w:rsidP="000C1EEB">
          <w:pPr>
            <w:autoSpaceDE w:val="0"/>
            <w:autoSpaceDN w:val="0"/>
            <w:adjustRightInd w:val="0"/>
            <w:spacing w:after="0" w:line="240" w:lineRule="auto"/>
            <w:rPr>
              <w:rFonts w:cs="Calibri"/>
              <w:sz w:val="20"/>
              <w:szCs w:val="20"/>
              <w:lang w:eastAsia="en-CA"/>
            </w:rPr>
          </w:pPr>
          <w:r w:rsidRPr="005803D7">
            <w:rPr>
              <w:rFonts w:cs="Calibri"/>
              <w:sz w:val="20"/>
              <w:szCs w:val="20"/>
              <w:lang w:eastAsia="en-CA"/>
            </w:rPr>
            <w:t>1000 Waterfront Centre</w:t>
          </w:r>
        </w:p>
        <w:p w:rsidR="004F1A07" w:rsidRPr="005803D7" w:rsidRDefault="004F1A07" w:rsidP="000C1EEB">
          <w:pPr>
            <w:autoSpaceDE w:val="0"/>
            <w:autoSpaceDN w:val="0"/>
            <w:adjustRightInd w:val="0"/>
            <w:spacing w:after="0" w:line="240" w:lineRule="auto"/>
            <w:rPr>
              <w:rFonts w:cs="Calibri"/>
              <w:sz w:val="20"/>
              <w:szCs w:val="20"/>
              <w:lang w:eastAsia="en-CA"/>
            </w:rPr>
          </w:pPr>
          <w:r w:rsidRPr="005803D7">
            <w:rPr>
              <w:rFonts w:cs="Calibri"/>
              <w:sz w:val="20"/>
              <w:szCs w:val="20"/>
              <w:lang w:eastAsia="en-CA"/>
            </w:rPr>
            <w:t>200 Burrard Street, Mail Box #52</w:t>
          </w:r>
        </w:p>
        <w:p w:rsidR="004F1A07" w:rsidRPr="005803D7" w:rsidRDefault="004F1A07" w:rsidP="000C1EEB">
          <w:pPr>
            <w:autoSpaceDE w:val="0"/>
            <w:autoSpaceDN w:val="0"/>
            <w:adjustRightInd w:val="0"/>
            <w:spacing w:after="0" w:line="240" w:lineRule="auto"/>
            <w:rPr>
              <w:rFonts w:cs="Calibri"/>
              <w:sz w:val="20"/>
              <w:szCs w:val="20"/>
              <w:lang w:eastAsia="en-CA"/>
            </w:rPr>
          </w:pPr>
          <w:r w:rsidRPr="005803D7">
            <w:rPr>
              <w:rFonts w:cs="Calibri"/>
              <w:sz w:val="20"/>
              <w:szCs w:val="20"/>
              <w:lang w:eastAsia="en-CA"/>
            </w:rPr>
            <w:t>Vancouver, BC V7X 1T2</w:t>
          </w:r>
        </w:p>
        <w:p w:rsidR="004F1A07" w:rsidRPr="005803D7" w:rsidRDefault="004F1A07" w:rsidP="00376C59">
          <w:pPr>
            <w:pStyle w:val="Header"/>
            <w:rPr>
              <w:rFonts w:cs="Calibri"/>
            </w:rPr>
          </w:pPr>
          <w:r w:rsidRPr="005803D7">
            <w:rPr>
              <w:rFonts w:cs="Calibri"/>
              <w:sz w:val="20"/>
              <w:szCs w:val="20"/>
              <w:lang w:eastAsia="en-CA"/>
            </w:rPr>
            <w:t>Canada</w:t>
          </w:r>
        </w:p>
      </w:tc>
      <w:tc>
        <w:tcPr>
          <w:tcW w:w="4788" w:type="dxa"/>
          <w:shd w:val="clear" w:color="auto" w:fill="auto"/>
        </w:tcPr>
        <w:p w:rsidR="004F1A07" w:rsidRDefault="00060200" w:rsidP="000C1EEB">
          <w:pPr>
            <w:pStyle w:val="Header"/>
            <w:jc w:val="right"/>
          </w:pPr>
          <w:r w:rsidRPr="003725FD">
            <w:rPr>
              <w:noProof/>
              <w:lang w:val="en-US"/>
            </w:rPr>
            <w:drawing>
              <wp:inline distT="0" distB="0" distL="0" distR="0">
                <wp:extent cx="2148205" cy="440055"/>
                <wp:effectExtent l="0" t="0" r="4445" b="0"/>
                <wp:docPr id="2" name="Picture 2" descr="ISL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SLG"/>
                        <pic:cNvPicPr>
                          <a:picLocks noChangeAspect="1" noChangeArrowheads="1"/>
                        </pic:cNvPicPr>
                      </pic:nvPicPr>
                      <pic:blipFill>
                        <a:blip r:embed="rId1">
                          <a:extLst>
                            <a:ext uri="{28A0092B-C50C-407E-A947-70E740481C1C}">
                              <a14:useLocalDpi xmlns:a14="http://schemas.microsoft.com/office/drawing/2010/main" val="0"/>
                            </a:ext>
                          </a:extLst>
                        </a:blip>
                        <a:srcRect t="20354" r="6400" b="17699"/>
                        <a:stretch>
                          <a:fillRect/>
                        </a:stretch>
                      </pic:blipFill>
                      <pic:spPr bwMode="auto">
                        <a:xfrm>
                          <a:off x="0" y="0"/>
                          <a:ext cx="2148205" cy="440055"/>
                        </a:xfrm>
                        <a:prstGeom prst="rect">
                          <a:avLst/>
                        </a:prstGeom>
                        <a:noFill/>
                        <a:ln>
                          <a:noFill/>
                        </a:ln>
                      </pic:spPr>
                    </pic:pic>
                  </a:graphicData>
                </a:graphic>
              </wp:inline>
            </w:drawing>
          </w:r>
        </w:p>
      </w:tc>
    </w:tr>
  </w:tbl>
  <w:p w:rsidR="004F1A07" w:rsidRDefault="004F1A0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4625"/>
      <w:gridCol w:w="4735"/>
    </w:tblGrid>
    <w:tr w:rsidR="001179BD" w:rsidTr="00793C0D">
      <w:tc>
        <w:tcPr>
          <w:tcW w:w="4788" w:type="dxa"/>
          <w:shd w:val="clear" w:color="auto" w:fill="auto"/>
        </w:tcPr>
        <w:p w:rsidR="001179BD" w:rsidRPr="005803D7" w:rsidRDefault="001179BD" w:rsidP="00793C0D">
          <w:pPr>
            <w:autoSpaceDE w:val="0"/>
            <w:autoSpaceDN w:val="0"/>
            <w:adjustRightInd w:val="0"/>
            <w:spacing w:after="0" w:line="240" w:lineRule="auto"/>
            <w:rPr>
              <w:rFonts w:cs="Calibri"/>
              <w:sz w:val="12"/>
              <w:szCs w:val="12"/>
              <w:lang w:eastAsia="en-CA"/>
            </w:rPr>
          </w:pPr>
          <w:r w:rsidRPr="005803D7">
            <w:rPr>
              <w:rFonts w:cs="Calibri"/>
              <w:b/>
              <w:bCs/>
              <w:sz w:val="20"/>
              <w:szCs w:val="20"/>
              <w:lang w:eastAsia="en-CA"/>
            </w:rPr>
            <w:t xml:space="preserve">Investor-State </w:t>
          </w:r>
          <w:proofErr w:type="spellStart"/>
          <w:r w:rsidRPr="005803D7">
            <w:rPr>
              <w:rFonts w:cs="Calibri"/>
              <w:b/>
              <w:bCs/>
              <w:sz w:val="20"/>
              <w:szCs w:val="20"/>
              <w:lang w:eastAsia="en-CA"/>
            </w:rPr>
            <w:t>LawGuide</w:t>
          </w:r>
          <w:proofErr w:type="spellEnd"/>
          <w:r w:rsidRPr="005803D7">
            <w:rPr>
              <w:rFonts w:cs="Calibri"/>
              <w:vertAlign w:val="superscript"/>
              <w:lang w:eastAsia="en-CA"/>
            </w:rPr>
            <w:t>™</w:t>
          </w:r>
        </w:p>
        <w:p w:rsidR="0059357F" w:rsidRPr="0059357F" w:rsidRDefault="0059357F" w:rsidP="0059357F">
          <w:pPr>
            <w:autoSpaceDE w:val="0"/>
            <w:autoSpaceDN w:val="0"/>
            <w:adjustRightInd w:val="0"/>
            <w:spacing w:after="0" w:line="240" w:lineRule="auto"/>
            <w:rPr>
              <w:rFonts w:cs="Calibri"/>
              <w:sz w:val="20"/>
              <w:szCs w:val="20"/>
              <w:lang w:eastAsia="en-CA"/>
            </w:rPr>
          </w:pPr>
          <w:r w:rsidRPr="0059357F">
            <w:rPr>
              <w:rFonts w:cs="Calibri"/>
              <w:sz w:val="20"/>
              <w:szCs w:val="20"/>
              <w:lang w:eastAsia="en-CA"/>
            </w:rPr>
            <w:t>1200 Waterfront Centre</w:t>
          </w:r>
        </w:p>
        <w:p w:rsidR="0059357F" w:rsidRPr="0059357F" w:rsidRDefault="0059357F" w:rsidP="0059357F">
          <w:pPr>
            <w:autoSpaceDE w:val="0"/>
            <w:autoSpaceDN w:val="0"/>
            <w:adjustRightInd w:val="0"/>
            <w:spacing w:after="0" w:line="240" w:lineRule="auto"/>
            <w:rPr>
              <w:rFonts w:cs="Calibri"/>
              <w:sz w:val="20"/>
              <w:szCs w:val="20"/>
              <w:lang w:eastAsia="en-CA"/>
            </w:rPr>
          </w:pPr>
          <w:r w:rsidRPr="0059357F">
            <w:rPr>
              <w:rFonts w:cs="Calibri"/>
              <w:sz w:val="20"/>
              <w:szCs w:val="20"/>
              <w:lang w:eastAsia="en-CA"/>
            </w:rPr>
            <w:t>200 Burrard Street</w:t>
          </w:r>
        </w:p>
        <w:p w:rsidR="0059357F" w:rsidRPr="0059357F" w:rsidRDefault="0059357F" w:rsidP="0059357F">
          <w:pPr>
            <w:autoSpaceDE w:val="0"/>
            <w:autoSpaceDN w:val="0"/>
            <w:adjustRightInd w:val="0"/>
            <w:spacing w:after="0" w:line="240" w:lineRule="auto"/>
            <w:rPr>
              <w:rFonts w:cs="Calibri"/>
              <w:sz w:val="20"/>
              <w:szCs w:val="20"/>
              <w:lang w:eastAsia="en-CA"/>
            </w:rPr>
          </w:pPr>
          <w:r w:rsidRPr="0059357F">
            <w:rPr>
              <w:rFonts w:cs="Calibri"/>
              <w:sz w:val="20"/>
              <w:szCs w:val="20"/>
              <w:lang w:eastAsia="en-CA"/>
            </w:rPr>
            <w:t>Vancouver, BC V6C 3L6</w:t>
          </w:r>
        </w:p>
        <w:p w:rsidR="001179BD" w:rsidRPr="005803D7" w:rsidRDefault="0059357F" w:rsidP="0059357F">
          <w:pPr>
            <w:pStyle w:val="Header"/>
            <w:rPr>
              <w:rFonts w:cs="Calibri"/>
            </w:rPr>
          </w:pPr>
          <w:r w:rsidRPr="0059357F">
            <w:rPr>
              <w:rFonts w:cs="Calibri"/>
              <w:sz w:val="20"/>
              <w:szCs w:val="20"/>
              <w:lang w:eastAsia="en-CA"/>
            </w:rPr>
            <w:t>Canada</w:t>
          </w:r>
        </w:p>
      </w:tc>
      <w:tc>
        <w:tcPr>
          <w:tcW w:w="4788" w:type="dxa"/>
          <w:shd w:val="clear" w:color="auto" w:fill="auto"/>
        </w:tcPr>
        <w:p w:rsidR="001179BD" w:rsidRDefault="00060200" w:rsidP="00793C0D">
          <w:pPr>
            <w:pStyle w:val="Header"/>
            <w:jc w:val="right"/>
          </w:pPr>
          <w:r w:rsidRPr="003725FD">
            <w:rPr>
              <w:noProof/>
              <w:lang w:val="en-US"/>
            </w:rPr>
            <w:drawing>
              <wp:inline distT="0" distB="0" distL="0" distR="0">
                <wp:extent cx="2148205" cy="440055"/>
                <wp:effectExtent l="0" t="0" r="4445" b="0"/>
                <wp:docPr id="1" name="Picture 1" descr="ISL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LG"/>
                        <pic:cNvPicPr>
                          <a:picLocks noChangeAspect="1" noChangeArrowheads="1"/>
                        </pic:cNvPicPr>
                      </pic:nvPicPr>
                      <pic:blipFill>
                        <a:blip r:embed="rId1">
                          <a:extLst>
                            <a:ext uri="{28A0092B-C50C-407E-A947-70E740481C1C}">
                              <a14:useLocalDpi xmlns:a14="http://schemas.microsoft.com/office/drawing/2010/main" val="0"/>
                            </a:ext>
                          </a:extLst>
                        </a:blip>
                        <a:srcRect t="20354" r="6400" b="17699"/>
                        <a:stretch>
                          <a:fillRect/>
                        </a:stretch>
                      </pic:blipFill>
                      <pic:spPr bwMode="auto">
                        <a:xfrm>
                          <a:off x="0" y="0"/>
                          <a:ext cx="2148205" cy="440055"/>
                        </a:xfrm>
                        <a:prstGeom prst="rect">
                          <a:avLst/>
                        </a:prstGeom>
                        <a:noFill/>
                        <a:ln>
                          <a:noFill/>
                        </a:ln>
                      </pic:spPr>
                    </pic:pic>
                  </a:graphicData>
                </a:graphic>
              </wp:inline>
            </w:drawing>
          </w:r>
        </w:p>
      </w:tc>
    </w:tr>
  </w:tbl>
  <w:p w:rsidR="001179BD" w:rsidRDefault="001179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3C3E60"/>
    <w:multiLevelType w:val="hybridMultilevel"/>
    <w:tmpl w:val="39D2AF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39715D24"/>
    <w:multiLevelType w:val="hybridMultilevel"/>
    <w:tmpl w:val="FC7246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9FD5202"/>
    <w:multiLevelType w:val="hybridMultilevel"/>
    <w:tmpl w:val="9E06CAC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3A591D9D"/>
    <w:multiLevelType w:val="hybridMultilevel"/>
    <w:tmpl w:val="A95A68F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47ED13E6"/>
    <w:multiLevelType w:val="hybridMultilevel"/>
    <w:tmpl w:val="1B4C874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54BC6F30"/>
    <w:multiLevelType w:val="hybridMultilevel"/>
    <w:tmpl w:val="A1D6088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593C1F27"/>
    <w:multiLevelType w:val="hybridMultilevel"/>
    <w:tmpl w:val="AB2C65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6DCD1015"/>
    <w:multiLevelType w:val="hybridMultilevel"/>
    <w:tmpl w:val="3830E5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78ED77AE"/>
    <w:multiLevelType w:val="hybridMultilevel"/>
    <w:tmpl w:val="4D4A788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7FF82A08"/>
    <w:multiLevelType w:val="hybridMultilevel"/>
    <w:tmpl w:val="51C6AC7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2"/>
  </w:num>
  <w:num w:numId="4">
    <w:abstractNumId w:val="3"/>
  </w:num>
  <w:num w:numId="5">
    <w:abstractNumId w:val="5"/>
  </w:num>
  <w:num w:numId="6">
    <w:abstractNumId w:val="4"/>
  </w:num>
  <w:num w:numId="7">
    <w:abstractNumId w:val="6"/>
  </w:num>
  <w:num w:numId="8">
    <w:abstractNumId w:val="7"/>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C59"/>
    <w:rsid w:val="00002270"/>
    <w:rsid w:val="00003E83"/>
    <w:rsid w:val="00005948"/>
    <w:rsid w:val="00005A9A"/>
    <w:rsid w:val="00012F10"/>
    <w:rsid w:val="00060200"/>
    <w:rsid w:val="00060D0B"/>
    <w:rsid w:val="00080709"/>
    <w:rsid w:val="000A5736"/>
    <w:rsid w:val="000A5742"/>
    <w:rsid w:val="000B3BE0"/>
    <w:rsid w:val="000C1EEB"/>
    <w:rsid w:val="000D7160"/>
    <w:rsid w:val="000E2443"/>
    <w:rsid w:val="000E2A39"/>
    <w:rsid w:val="000F0017"/>
    <w:rsid w:val="00103FF7"/>
    <w:rsid w:val="001058A9"/>
    <w:rsid w:val="00106D29"/>
    <w:rsid w:val="001073A7"/>
    <w:rsid w:val="001179BD"/>
    <w:rsid w:val="0012450D"/>
    <w:rsid w:val="00124C48"/>
    <w:rsid w:val="00136F59"/>
    <w:rsid w:val="0016095F"/>
    <w:rsid w:val="00164F81"/>
    <w:rsid w:val="001775D9"/>
    <w:rsid w:val="00180553"/>
    <w:rsid w:val="00180BA4"/>
    <w:rsid w:val="00186ED3"/>
    <w:rsid w:val="001B5689"/>
    <w:rsid w:val="001D55A3"/>
    <w:rsid w:val="001E18AC"/>
    <w:rsid w:val="001F0A13"/>
    <w:rsid w:val="00202F7C"/>
    <w:rsid w:val="00204033"/>
    <w:rsid w:val="0023263C"/>
    <w:rsid w:val="00257C0D"/>
    <w:rsid w:val="002621CC"/>
    <w:rsid w:val="00282B52"/>
    <w:rsid w:val="00291D1F"/>
    <w:rsid w:val="002B05E2"/>
    <w:rsid w:val="002B15BF"/>
    <w:rsid w:val="002B4832"/>
    <w:rsid w:val="00311B24"/>
    <w:rsid w:val="00311FD1"/>
    <w:rsid w:val="0031592F"/>
    <w:rsid w:val="00317A59"/>
    <w:rsid w:val="0032323E"/>
    <w:rsid w:val="00324F47"/>
    <w:rsid w:val="003362BE"/>
    <w:rsid w:val="003578B6"/>
    <w:rsid w:val="003652E7"/>
    <w:rsid w:val="00365F94"/>
    <w:rsid w:val="00375990"/>
    <w:rsid w:val="00376C59"/>
    <w:rsid w:val="00391845"/>
    <w:rsid w:val="003A5EF7"/>
    <w:rsid w:val="003B117B"/>
    <w:rsid w:val="003B32F3"/>
    <w:rsid w:val="003B41F9"/>
    <w:rsid w:val="003C0234"/>
    <w:rsid w:val="003C4AA8"/>
    <w:rsid w:val="003D0145"/>
    <w:rsid w:val="003E027B"/>
    <w:rsid w:val="003F05C0"/>
    <w:rsid w:val="004033C5"/>
    <w:rsid w:val="00437BEE"/>
    <w:rsid w:val="004510B9"/>
    <w:rsid w:val="00496A58"/>
    <w:rsid w:val="004B357B"/>
    <w:rsid w:val="004B7316"/>
    <w:rsid w:val="004C33FE"/>
    <w:rsid w:val="004E3C0A"/>
    <w:rsid w:val="004E7919"/>
    <w:rsid w:val="004F0788"/>
    <w:rsid w:val="004F1A07"/>
    <w:rsid w:val="004F26D9"/>
    <w:rsid w:val="004F3277"/>
    <w:rsid w:val="00515472"/>
    <w:rsid w:val="00517CA8"/>
    <w:rsid w:val="00522611"/>
    <w:rsid w:val="00524EFA"/>
    <w:rsid w:val="00537B9B"/>
    <w:rsid w:val="0055381E"/>
    <w:rsid w:val="00556AE0"/>
    <w:rsid w:val="005803D7"/>
    <w:rsid w:val="0059357F"/>
    <w:rsid w:val="005A054E"/>
    <w:rsid w:val="005A480C"/>
    <w:rsid w:val="005B409B"/>
    <w:rsid w:val="005C0E62"/>
    <w:rsid w:val="005C4C04"/>
    <w:rsid w:val="005E0CE4"/>
    <w:rsid w:val="005F7D98"/>
    <w:rsid w:val="006029A6"/>
    <w:rsid w:val="006049B6"/>
    <w:rsid w:val="0061340A"/>
    <w:rsid w:val="00630116"/>
    <w:rsid w:val="006577C9"/>
    <w:rsid w:val="006734DD"/>
    <w:rsid w:val="00684901"/>
    <w:rsid w:val="00685A0C"/>
    <w:rsid w:val="006A6806"/>
    <w:rsid w:val="006B19F6"/>
    <w:rsid w:val="006D5BA2"/>
    <w:rsid w:val="006E389F"/>
    <w:rsid w:val="006E40C9"/>
    <w:rsid w:val="006F49CA"/>
    <w:rsid w:val="006F6A63"/>
    <w:rsid w:val="007045D9"/>
    <w:rsid w:val="0071506C"/>
    <w:rsid w:val="0072301F"/>
    <w:rsid w:val="00725166"/>
    <w:rsid w:val="00732426"/>
    <w:rsid w:val="00740206"/>
    <w:rsid w:val="00740F87"/>
    <w:rsid w:val="00761B38"/>
    <w:rsid w:val="00766C5F"/>
    <w:rsid w:val="00772614"/>
    <w:rsid w:val="00781D10"/>
    <w:rsid w:val="00793C0D"/>
    <w:rsid w:val="00794F51"/>
    <w:rsid w:val="007B6B95"/>
    <w:rsid w:val="007E5020"/>
    <w:rsid w:val="007F427A"/>
    <w:rsid w:val="00801D6B"/>
    <w:rsid w:val="0082057F"/>
    <w:rsid w:val="00820C4F"/>
    <w:rsid w:val="00822206"/>
    <w:rsid w:val="00825525"/>
    <w:rsid w:val="00876EEE"/>
    <w:rsid w:val="00884330"/>
    <w:rsid w:val="00884DCF"/>
    <w:rsid w:val="008854A8"/>
    <w:rsid w:val="008870ED"/>
    <w:rsid w:val="00887A03"/>
    <w:rsid w:val="00894048"/>
    <w:rsid w:val="00897FDD"/>
    <w:rsid w:val="008B2FC8"/>
    <w:rsid w:val="008C0712"/>
    <w:rsid w:val="008C6EBF"/>
    <w:rsid w:val="008E0268"/>
    <w:rsid w:val="008F356B"/>
    <w:rsid w:val="008F440F"/>
    <w:rsid w:val="008F4E53"/>
    <w:rsid w:val="009050B4"/>
    <w:rsid w:val="00916E9E"/>
    <w:rsid w:val="00932AF3"/>
    <w:rsid w:val="00940595"/>
    <w:rsid w:val="00940C2A"/>
    <w:rsid w:val="00952ABE"/>
    <w:rsid w:val="009545DF"/>
    <w:rsid w:val="009559EC"/>
    <w:rsid w:val="00957D2C"/>
    <w:rsid w:val="009700B3"/>
    <w:rsid w:val="00971C3A"/>
    <w:rsid w:val="00975F0B"/>
    <w:rsid w:val="009A1ABA"/>
    <w:rsid w:val="009A2152"/>
    <w:rsid w:val="009B1470"/>
    <w:rsid w:val="009D461A"/>
    <w:rsid w:val="00A00530"/>
    <w:rsid w:val="00A20447"/>
    <w:rsid w:val="00A21DCD"/>
    <w:rsid w:val="00A41688"/>
    <w:rsid w:val="00A4746F"/>
    <w:rsid w:val="00A50420"/>
    <w:rsid w:val="00A525CB"/>
    <w:rsid w:val="00A70AAB"/>
    <w:rsid w:val="00A826C9"/>
    <w:rsid w:val="00AA0B3D"/>
    <w:rsid w:val="00AA3CFE"/>
    <w:rsid w:val="00AC1C70"/>
    <w:rsid w:val="00AC2052"/>
    <w:rsid w:val="00AE6421"/>
    <w:rsid w:val="00AF262B"/>
    <w:rsid w:val="00B12B32"/>
    <w:rsid w:val="00B26E60"/>
    <w:rsid w:val="00B30C5E"/>
    <w:rsid w:val="00B36B89"/>
    <w:rsid w:val="00B44091"/>
    <w:rsid w:val="00B44583"/>
    <w:rsid w:val="00B475C2"/>
    <w:rsid w:val="00B730E6"/>
    <w:rsid w:val="00B76C75"/>
    <w:rsid w:val="00B93679"/>
    <w:rsid w:val="00B93C22"/>
    <w:rsid w:val="00B94FC4"/>
    <w:rsid w:val="00BA16BC"/>
    <w:rsid w:val="00BB30C9"/>
    <w:rsid w:val="00BC376A"/>
    <w:rsid w:val="00BF61F4"/>
    <w:rsid w:val="00C10E27"/>
    <w:rsid w:val="00C11E72"/>
    <w:rsid w:val="00C30552"/>
    <w:rsid w:val="00C30AA2"/>
    <w:rsid w:val="00C326B4"/>
    <w:rsid w:val="00C3486E"/>
    <w:rsid w:val="00C37086"/>
    <w:rsid w:val="00C43E26"/>
    <w:rsid w:val="00C44FE1"/>
    <w:rsid w:val="00C45348"/>
    <w:rsid w:val="00C5450A"/>
    <w:rsid w:val="00C64F04"/>
    <w:rsid w:val="00C71F35"/>
    <w:rsid w:val="00C71FE8"/>
    <w:rsid w:val="00C7235A"/>
    <w:rsid w:val="00C95D71"/>
    <w:rsid w:val="00C97764"/>
    <w:rsid w:val="00CB17B3"/>
    <w:rsid w:val="00CB7798"/>
    <w:rsid w:val="00CC557C"/>
    <w:rsid w:val="00CF1535"/>
    <w:rsid w:val="00D43E38"/>
    <w:rsid w:val="00D46432"/>
    <w:rsid w:val="00D62816"/>
    <w:rsid w:val="00D74A98"/>
    <w:rsid w:val="00D76572"/>
    <w:rsid w:val="00D9517D"/>
    <w:rsid w:val="00DE7B85"/>
    <w:rsid w:val="00E36A98"/>
    <w:rsid w:val="00E55C84"/>
    <w:rsid w:val="00E71248"/>
    <w:rsid w:val="00E917B5"/>
    <w:rsid w:val="00EB3298"/>
    <w:rsid w:val="00EC40EF"/>
    <w:rsid w:val="00EC590F"/>
    <w:rsid w:val="00EC69CD"/>
    <w:rsid w:val="00ED22AD"/>
    <w:rsid w:val="00EF3F06"/>
    <w:rsid w:val="00F01C17"/>
    <w:rsid w:val="00F141F5"/>
    <w:rsid w:val="00F25826"/>
    <w:rsid w:val="00F269D3"/>
    <w:rsid w:val="00F30841"/>
    <w:rsid w:val="00F36DDE"/>
    <w:rsid w:val="00F43F1B"/>
    <w:rsid w:val="00F72F89"/>
    <w:rsid w:val="00F82A5E"/>
    <w:rsid w:val="00F9002B"/>
    <w:rsid w:val="00F93376"/>
    <w:rsid w:val="00FB1AAE"/>
    <w:rsid w:val="00FC03DD"/>
    <w:rsid w:val="00FC1822"/>
    <w:rsid w:val="00FC3CA8"/>
    <w:rsid w:val="00FC4177"/>
    <w:rsid w:val="00FC599F"/>
    <w:rsid w:val="00FD0297"/>
    <w:rsid w:val="00FD5E8E"/>
    <w:rsid w:val="00FD7D5A"/>
    <w:rsid w:val="00FE14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5:chartTrackingRefBased/>
  <w15:docId w15:val="{9474673F-D922-4503-A5C1-56E01A679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6C59"/>
    <w:pPr>
      <w:tabs>
        <w:tab w:val="center" w:pos="4680"/>
        <w:tab w:val="right" w:pos="9360"/>
      </w:tabs>
    </w:pPr>
  </w:style>
  <w:style w:type="character" w:customStyle="1" w:styleId="HeaderChar">
    <w:name w:val="Header Char"/>
    <w:link w:val="Header"/>
    <w:uiPriority w:val="99"/>
    <w:rsid w:val="00376C59"/>
    <w:rPr>
      <w:sz w:val="22"/>
      <w:szCs w:val="22"/>
      <w:lang w:eastAsia="en-US"/>
    </w:rPr>
  </w:style>
  <w:style w:type="paragraph" w:styleId="Footer">
    <w:name w:val="footer"/>
    <w:basedOn w:val="Normal"/>
    <w:link w:val="FooterChar"/>
    <w:uiPriority w:val="99"/>
    <w:unhideWhenUsed/>
    <w:rsid w:val="00376C59"/>
    <w:pPr>
      <w:tabs>
        <w:tab w:val="center" w:pos="4680"/>
        <w:tab w:val="right" w:pos="9360"/>
      </w:tabs>
    </w:pPr>
  </w:style>
  <w:style w:type="character" w:customStyle="1" w:styleId="FooterChar">
    <w:name w:val="Footer Char"/>
    <w:link w:val="Footer"/>
    <w:uiPriority w:val="99"/>
    <w:rsid w:val="00376C59"/>
    <w:rPr>
      <w:sz w:val="22"/>
      <w:szCs w:val="22"/>
      <w:lang w:eastAsia="en-US"/>
    </w:rPr>
  </w:style>
  <w:style w:type="table" w:styleId="TableGrid">
    <w:name w:val="Table Grid"/>
    <w:basedOn w:val="TableNormal"/>
    <w:uiPriority w:val="59"/>
    <w:rsid w:val="00376C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B7798"/>
    <w:rPr>
      <w:color w:val="0000FF"/>
      <w:u w:val="single"/>
    </w:rPr>
  </w:style>
  <w:style w:type="character" w:styleId="FollowedHyperlink">
    <w:name w:val="FollowedHyperlink"/>
    <w:uiPriority w:val="99"/>
    <w:semiHidden/>
    <w:unhideWhenUsed/>
    <w:rsid w:val="00CB7798"/>
    <w:rPr>
      <w:color w:val="800080"/>
      <w:u w:val="single"/>
    </w:rPr>
  </w:style>
  <w:style w:type="paragraph" w:styleId="FootnoteText">
    <w:name w:val="footnote text"/>
    <w:basedOn w:val="Normal"/>
    <w:link w:val="FootnoteTextChar"/>
    <w:uiPriority w:val="99"/>
    <w:semiHidden/>
    <w:unhideWhenUsed/>
    <w:rsid w:val="00F30841"/>
    <w:rPr>
      <w:sz w:val="20"/>
      <w:szCs w:val="20"/>
    </w:rPr>
  </w:style>
  <w:style w:type="character" w:customStyle="1" w:styleId="FootnoteTextChar">
    <w:name w:val="Footnote Text Char"/>
    <w:link w:val="FootnoteText"/>
    <w:uiPriority w:val="99"/>
    <w:semiHidden/>
    <w:rsid w:val="00F30841"/>
    <w:rPr>
      <w:lang w:eastAsia="en-US"/>
    </w:rPr>
  </w:style>
  <w:style w:type="character" w:styleId="FootnoteReference">
    <w:name w:val="footnote reference"/>
    <w:uiPriority w:val="99"/>
    <w:semiHidden/>
    <w:unhideWhenUsed/>
    <w:rsid w:val="00F30841"/>
    <w:rPr>
      <w:vertAlign w:val="superscript"/>
    </w:rPr>
  </w:style>
  <w:style w:type="paragraph" w:styleId="BalloonText">
    <w:name w:val="Balloon Text"/>
    <w:basedOn w:val="Normal"/>
    <w:link w:val="BalloonTextChar"/>
    <w:uiPriority w:val="99"/>
    <w:semiHidden/>
    <w:unhideWhenUsed/>
    <w:rsid w:val="00317A5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17A59"/>
    <w:rPr>
      <w:rFonts w:ascii="Tahoma" w:hAnsi="Tahoma" w:cs="Tahoma"/>
      <w:sz w:val="16"/>
      <w:szCs w:val="16"/>
      <w:lang w:eastAsia="en-US"/>
    </w:rPr>
  </w:style>
  <w:style w:type="character" w:styleId="CommentReference">
    <w:name w:val="annotation reference"/>
    <w:uiPriority w:val="99"/>
    <w:semiHidden/>
    <w:unhideWhenUsed/>
    <w:rsid w:val="00A4746F"/>
    <w:rPr>
      <w:sz w:val="16"/>
      <w:szCs w:val="16"/>
    </w:rPr>
  </w:style>
  <w:style w:type="paragraph" w:styleId="CommentText">
    <w:name w:val="annotation text"/>
    <w:basedOn w:val="Normal"/>
    <w:link w:val="CommentTextChar"/>
    <w:uiPriority w:val="99"/>
    <w:semiHidden/>
    <w:unhideWhenUsed/>
    <w:rsid w:val="00A4746F"/>
    <w:rPr>
      <w:sz w:val="20"/>
      <w:szCs w:val="20"/>
    </w:rPr>
  </w:style>
  <w:style w:type="character" w:customStyle="1" w:styleId="CommentTextChar">
    <w:name w:val="Comment Text Char"/>
    <w:link w:val="CommentText"/>
    <w:uiPriority w:val="99"/>
    <w:semiHidden/>
    <w:rsid w:val="00A4746F"/>
    <w:rPr>
      <w:lang w:eastAsia="en-US"/>
    </w:rPr>
  </w:style>
  <w:style w:type="paragraph" w:styleId="CommentSubject">
    <w:name w:val="annotation subject"/>
    <w:basedOn w:val="CommentText"/>
    <w:next w:val="CommentText"/>
    <w:link w:val="CommentSubjectChar"/>
    <w:uiPriority w:val="99"/>
    <w:semiHidden/>
    <w:unhideWhenUsed/>
    <w:rsid w:val="00A4746F"/>
    <w:rPr>
      <w:b/>
      <w:bCs/>
    </w:rPr>
  </w:style>
  <w:style w:type="character" w:customStyle="1" w:styleId="CommentSubjectChar">
    <w:name w:val="Comment Subject Char"/>
    <w:link w:val="CommentSubject"/>
    <w:uiPriority w:val="99"/>
    <w:semiHidden/>
    <w:rsid w:val="00A4746F"/>
    <w:rPr>
      <w:b/>
      <w:bCs/>
      <w:lang w:eastAsia="en-US"/>
    </w:rPr>
  </w:style>
  <w:style w:type="paragraph" w:styleId="Revision">
    <w:name w:val="Revision"/>
    <w:hidden/>
    <w:uiPriority w:val="99"/>
    <w:semiHidden/>
    <w:rsid w:val="00A4746F"/>
    <w:rPr>
      <w:sz w:val="22"/>
      <w:szCs w:val="22"/>
      <w:lang w:val="en-CA"/>
    </w:rPr>
  </w:style>
  <w:style w:type="paragraph" w:styleId="ListParagraph">
    <w:name w:val="List Paragraph"/>
    <w:basedOn w:val="Normal"/>
    <w:uiPriority w:val="34"/>
    <w:qFormat/>
    <w:rsid w:val="00FC41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1902423">
      <w:bodyDiv w:val="1"/>
      <w:marLeft w:val="0"/>
      <w:marRight w:val="0"/>
      <w:marTop w:val="0"/>
      <w:marBottom w:val="0"/>
      <w:divBdr>
        <w:top w:val="none" w:sz="0" w:space="0" w:color="auto"/>
        <w:left w:val="none" w:sz="0" w:space="0" w:color="auto"/>
        <w:bottom w:val="none" w:sz="0" w:space="0" w:color="auto"/>
        <w:right w:val="none" w:sz="0" w:space="0" w:color="auto"/>
      </w:divBdr>
    </w:div>
    <w:div w:id="401677918">
      <w:bodyDiv w:val="1"/>
      <w:marLeft w:val="0"/>
      <w:marRight w:val="0"/>
      <w:marTop w:val="0"/>
      <w:marBottom w:val="0"/>
      <w:divBdr>
        <w:top w:val="none" w:sz="0" w:space="0" w:color="auto"/>
        <w:left w:val="none" w:sz="0" w:space="0" w:color="auto"/>
        <w:bottom w:val="none" w:sz="0" w:space="0" w:color="auto"/>
        <w:right w:val="none" w:sz="0" w:space="0" w:color="auto"/>
      </w:divBdr>
    </w:div>
    <w:div w:id="706565045">
      <w:bodyDiv w:val="1"/>
      <w:marLeft w:val="0"/>
      <w:marRight w:val="0"/>
      <w:marTop w:val="0"/>
      <w:marBottom w:val="0"/>
      <w:divBdr>
        <w:top w:val="none" w:sz="0" w:space="0" w:color="auto"/>
        <w:left w:val="none" w:sz="0" w:space="0" w:color="auto"/>
        <w:bottom w:val="none" w:sz="0" w:space="0" w:color="auto"/>
        <w:right w:val="none" w:sz="0" w:space="0" w:color="auto"/>
      </w:divBdr>
    </w:div>
    <w:div w:id="739444324">
      <w:bodyDiv w:val="1"/>
      <w:marLeft w:val="0"/>
      <w:marRight w:val="0"/>
      <w:marTop w:val="0"/>
      <w:marBottom w:val="0"/>
      <w:divBdr>
        <w:top w:val="none" w:sz="0" w:space="0" w:color="auto"/>
        <w:left w:val="none" w:sz="0" w:space="0" w:color="auto"/>
        <w:bottom w:val="none" w:sz="0" w:space="0" w:color="auto"/>
        <w:right w:val="none" w:sz="0" w:space="0" w:color="auto"/>
      </w:divBdr>
    </w:div>
    <w:div w:id="827209527">
      <w:bodyDiv w:val="1"/>
      <w:marLeft w:val="0"/>
      <w:marRight w:val="0"/>
      <w:marTop w:val="0"/>
      <w:marBottom w:val="0"/>
      <w:divBdr>
        <w:top w:val="none" w:sz="0" w:space="0" w:color="auto"/>
        <w:left w:val="none" w:sz="0" w:space="0" w:color="auto"/>
        <w:bottom w:val="none" w:sz="0" w:space="0" w:color="auto"/>
        <w:right w:val="none" w:sz="0" w:space="0" w:color="auto"/>
      </w:divBdr>
    </w:div>
    <w:div w:id="961494415">
      <w:bodyDiv w:val="1"/>
      <w:marLeft w:val="0"/>
      <w:marRight w:val="0"/>
      <w:marTop w:val="0"/>
      <w:marBottom w:val="0"/>
      <w:divBdr>
        <w:top w:val="none" w:sz="0" w:space="0" w:color="auto"/>
        <w:left w:val="none" w:sz="0" w:space="0" w:color="auto"/>
        <w:bottom w:val="none" w:sz="0" w:space="0" w:color="auto"/>
        <w:right w:val="none" w:sz="0" w:space="0" w:color="auto"/>
      </w:divBdr>
    </w:div>
    <w:div w:id="1044254541">
      <w:bodyDiv w:val="1"/>
      <w:marLeft w:val="0"/>
      <w:marRight w:val="0"/>
      <w:marTop w:val="0"/>
      <w:marBottom w:val="0"/>
      <w:divBdr>
        <w:top w:val="none" w:sz="0" w:space="0" w:color="auto"/>
        <w:left w:val="none" w:sz="0" w:space="0" w:color="auto"/>
        <w:bottom w:val="none" w:sz="0" w:space="0" w:color="auto"/>
        <w:right w:val="none" w:sz="0" w:space="0" w:color="auto"/>
      </w:divBdr>
    </w:div>
    <w:div w:id="1338311674">
      <w:bodyDiv w:val="1"/>
      <w:marLeft w:val="0"/>
      <w:marRight w:val="0"/>
      <w:marTop w:val="0"/>
      <w:marBottom w:val="0"/>
      <w:divBdr>
        <w:top w:val="none" w:sz="0" w:space="0" w:color="auto"/>
        <w:left w:val="none" w:sz="0" w:space="0" w:color="auto"/>
        <w:bottom w:val="none" w:sz="0" w:space="0" w:color="auto"/>
        <w:right w:val="none" w:sz="0" w:space="0" w:color="auto"/>
      </w:divBdr>
    </w:div>
    <w:div w:id="1423722545">
      <w:bodyDiv w:val="1"/>
      <w:marLeft w:val="0"/>
      <w:marRight w:val="0"/>
      <w:marTop w:val="0"/>
      <w:marBottom w:val="0"/>
      <w:divBdr>
        <w:top w:val="none" w:sz="0" w:space="0" w:color="auto"/>
        <w:left w:val="none" w:sz="0" w:space="0" w:color="auto"/>
        <w:bottom w:val="none" w:sz="0" w:space="0" w:color="auto"/>
        <w:right w:val="none" w:sz="0" w:space="0" w:color="auto"/>
      </w:divBdr>
    </w:div>
    <w:div w:id="1489442150">
      <w:bodyDiv w:val="1"/>
      <w:marLeft w:val="0"/>
      <w:marRight w:val="0"/>
      <w:marTop w:val="0"/>
      <w:marBottom w:val="0"/>
      <w:divBdr>
        <w:top w:val="none" w:sz="0" w:space="0" w:color="auto"/>
        <w:left w:val="none" w:sz="0" w:space="0" w:color="auto"/>
        <w:bottom w:val="none" w:sz="0" w:space="0" w:color="auto"/>
        <w:right w:val="none" w:sz="0" w:space="0" w:color="auto"/>
      </w:divBdr>
    </w:div>
    <w:div w:id="1496341192">
      <w:bodyDiv w:val="1"/>
      <w:marLeft w:val="0"/>
      <w:marRight w:val="0"/>
      <w:marTop w:val="0"/>
      <w:marBottom w:val="0"/>
      <w:divBdr>
        <w:top w:val="none" w:sz="0" w:space="0" w:color="auto"/>
        <w:left w:val="none" w:sz="0" w:space="0" w:color="auto"/>
        <w:bottom w:val="none" w:sz="0" w:space="0" w:color="auto"/>
        <w:right w:val="none" w:sz="0" w:space="0" w:color="auto"/>
      </w:divBdr>
    </w:div>
    <w:div w:id="1516844253">
      <w:bodyDiv w:val="1"/>
      <w:marLeft w:val="0"/>
      <w:marRight w:val="0"/>
      <w:marTop w:val="0"/>
      <w:marBottom w:val="0"/>
      <w:divBdr>
        <w:top w:val="none" w:sz="0" w:space="0" w:color="auto"/>
        <w:left w:val="none" w:sz="0" w:space="0" w:color="auto"/>
        <w:bottom w:val="none" w:sz="0" w:space="0" w:color="auto"/>
        <w:right w:val="none" w:sz="0" w:space="0" w:color="auto"/>
      </w:divBdr>
    </w:div>
    <w:div w:id="1593657700">
      <w:bodyDiv w:val="1"/>
      <w:marLeft w:val="0"/>
      <w:marRight w:val="0"/>
      <w:marTop w:val="0"/>
      <w:marBottom w:val="0"/>
      <w:divBdr>
        <w:top w:val="none" w:sz="0" w:space="0" w:color="auto"/>
        <w:left w:val="none" w:sz="0" w:space="0" w:color="auto"/>
        <w:bottom w:val="none" w:sz="0" w:space="0" w:color="auto"/>
        <w:right w:val="none" w:sz="0" w:space="0" w:color="auto"/>
      </w:divBdr>
    </w:div>
    <w:div w:id="1628971775">
      <w:bodyDiv w:val="1"/>
      <w:marLeft w:val="0"/>
      <w:marRight w:val="0"/>
      <w:marTop w:val="0"/>
      <w:marBottom w:val="0"/>
      <w:divBdr>
        <w:top w:val="none" w:sz="0" w:space="0" w:color="auto"/>
        <w:left w:val="none" w:sz="0" w:space="0" w:color="auto"/>
        <w:bottom w:val="none" w:sz="0" w:space="0" w:color="auto"/>
        <w:right w:val="none" w:sz="0" w:space="0" w:color="auto"/>
      </w:divBdr>
    </w:div>
    <w:div w:id="1634755261">
      <w:bodyDiv w:val="1"/>
      <w:marLeft w:val="0"/>
      <w:marRight w:val="0"/>
      <w:marTop w:val="0"/>
      <w:marBottom w:val="0"/>
      <w:divBdr>
        <w:top w:val="none" w:sz="0" w:space="0" w:color="auto"/>
        <w:left w:val="none" w:sz="0" w:space="0" w:color="auto"/>
        <w:bottom w:val="none" w:sz="0" w:space="0" w:color="auto"/>
        <w:right w:val="none" w:sz="0" w:space="0" w:color="auto"/>
      </w:divBdr>
    </w:div>
    <w:div w:id="1708136071">
      <w:bodyDiv w:val="1"/>
      <w:marLeft w:val="0"/>
      <w:marRight w:val="0"/>
      <w:marTop w:val="0"/>
      <w:marBottom w:val="0"/>
      <w:divBdr>
        <w:top w:val="none" w:sz="0" w:space="0" w:color="auto"/>
        <w:left w:val="none" w:sz="0" w:space="0" w:color="auto"/>
        <w:bottom w:val="none" w:sz="0" w:space="0" w:color="auto"/>
        <w:right w:val="none" w:sz="0" w:space="0" w:color="auto"/>
      </w:divBdr>
    </w:div>
    <w:div w:id="1888879617">
      <w:bodyDiv w:val="1"/>
      <w:marLeft w:val="0"/>
      <w:marRight w:val="0"/>
      <w:marTop w:val="0"/>
      <w:marBottom w:val="0"/>
      <w:divBdr>
        <w:top w:val="none" w:sz="0" w:space="0" w:color="auto"/>
        <w:left w:val="none" w:sz="0" w:space="0" w:color="auto"/>
        <w:bottom w:val="none" w:sz="0" w:space="0" w:color="auto"/>
        <w:right w:val="none" w:sz="0" w:space="0" w:color="auto"/>
      </w:divBdr>
    </w:div>
    <w:div w:id="1927306821">
      <w:bodyDiv w:val="1"/>
      <w:marLeft w:val="0"/>
      <w:marRight w:val="0"/>
      <w:marTop w:val="0"/>
      <w:marBottom w:val="0"/>
      <w:divBdr>
        <w:top w:val="none" w:sz="0" w:space="0" w:color="auto"/>
        <w:left w:val="none" w:sz="0" w:space="0" w:color="auto"/>
        <w:bottom w:val="none" w:sz="0" w:space="0" w:color="auto"/>
        <w:right w:val="none" w:sz="0" w:space="0" w:color="auto"/>
      </w:divBdr>
    </w:div>
    <w:div w:id="1935742400">
      <w:bodyDiv w:val="1"/>
      <w:marLeft w:val="0"/>
      <w:marRight w:val="0"/>
      <w:marTop w:val="0"/>
      <w:marBottom w:val="0"/>
      <w:divBdr>
        <w:top w:val="none" w:sz="0" w:space="0" w:color="auto"/>
        <w:left w:val="none" w:sz="0" w:space="0" w:color="auto"/>
        <w:bottom w:val="none" w:sz="0" w:space="0" w:color="auto"/>
        <w:right w:val="none" w:sz="0" w:space="0" w:color="auto"/>
      </w:divBdr>
    </w:div>
    <w:div w:id="1987932413">
      <w:bodyDiv w:val="1"/>
      <w:marLeft w:val="0"/>
      <w:marRight w:val="0"/>
      <w:marTop w:val="0"/>
      <w:marBottom w:val="0"/>
      <w:divBdr>
        <w:top w:val="none" w:sz="0" w:space="0" w:color="auto"/>
        <w:left w:val="none" w:sz="0" w:space="0" w:color="auto"/>
        <w:bottom w:val="none" w:sz="0" w:space="0" w:color="auto"/>
        <w:right w:val="none" w:sz="0" w:space="0" w:color="auto"/>
      </w:divBdr>
    </w:div>
    <w:div w:id="2077125361">
      <w:bodyDiv w:val="1"/>
      <w:marLeft w:val="0"/>
      <w:marRight w:val="0"/>
      <w:marTop w:val="0"/>
      <w:marBottom w:val="0"/>
      <w:divBdr>
        <w:top w:val="none" w:sz="0" w:space="0" w:color="auto"/>
        <w:left w:val="none" w:sz="0" w:space="0" w:color="auto"/>
        <w:bottom w:val="none" w:sz="0" w:space="0" w:color="auto"/>
        <w:right w:val="none" w:sz="0" w:space="0" w:color="auto"/>
      </w:divBdr>
    </w:div>
    <w:div w:id="2079208565">
      <w:bodyDiv w:val="1"/>
      <w:marLeft w:val="0"/>
      <w:marRight w:val="0"/>
      <w:marTop w:val="0"/>
      <w:marBottom w:val="0"/>
      <w:divBdr>
        <w:top w:val="none" w:sz="0" w:space="0" w:color="auto"/>
        <w:left w:val="none" w:sz="0" w:space="0" w:color="auto"/>
        <w:bottom w:val="none" w:sz="0" w:space="0" w:color="auto"/>
        <w:right w:val="none" w:sz="0" w:space="0" w:color="auto"/>
      </w:divBdr>
    </w:div>
    <w:div w:id="2137022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98137C-1D47-4BFF-858D-3D3961C8B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345</TotalTime>
  <Pages>3</Pages>
  <Words>823</Words>
  <Characters>4696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Maguire</dc:creator>
  <cp:keywords/>
  <cp:lastModifiedBy>Morgan Maguire</cp:lastModifiedBy>
  <cp:revision>14</cp:revision>
  <cp:lastPrinted>2018-01-16T23:46:00Z</cp:lastPrinted>
  <dcterms:created xsi:type="dcterms:W3CDTF">2018-01-16T18:27:00Z</dcterms:created>
  <dcterms:modified xsi:type="dcterms:W3CDTF">2018-01-17T00:12:00Z</dcterms:modified>
</cp:coreProperties>
</file>