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1D54B22" w14:textId="77777777" w:rsidR="00881719" w:rsidRPr="00041FD7" w:rsidRDefault="00024621" w:rsidP="00881719">
      <w:pPr>
        <w:jc w:val="both"/>
        <w:rPr>
          <w:rFonts w:ascii="Times New Roman" w:eastAsia="Times New Roman" w:hAnsi="Times New Roman" w:cs="Times New Roman"/>
          <w:b/>
          <w:bCs/>
          <w:szCs w:val="26"/>
        </w:rPr>
      </w:pPr>
      <w:r w:rsidRPr="00A24A91">
        <w:rPr>
          <w:rFonts w:ascii="Times New Roman" w:eastAsia="Times New Roman" w:hAnsi="Times New Roman" w:cs="Times New Roman"/>
          <w:b/>
          <w:bCs/>
          <w:szCs w:val="26"/>
          <w:lang w:val="en-IN"/>
        </w:rPr>
        <w:t>Prenay</w:t>
      </w:r>
      <w:r w:rsidRPr="00041FD7">
        <w:rPr>
          <w:rFonts w:ascii="Times New Roman" w:eastAsia="Times New Roman" w:hAnsi="Times New Roman" w:cs="Times New Roman"/>
          <w:b/>
          <w:bCs/>
          <w:szCs w:val="26"/>
        </w:rPr>
        <w:t xml:space="preserve"> Agarwal, Vinita Agarwal and Ritika Mehta v. Oriental Republic of Uruguay, PCA Case No. 2018-04, Award, 6 August 2020 [Spanish]</w:t>
      </w:r>
    </w:p>
    <w:p w14:paraId="2EB0238E" w14:textId="77777777" w:rsidR="002B6B66" w:rsidRPr="00041FD7" w:rsidRDefault="002B6B66" w:rsidP="007F643E">
      <w:pPr>
        <w:spacing w:after="200" w:line="276" w:lineRule="auto"/>
        <w:rPr>
          <w:rFonts w:ascii="Times New Roman" w:hAnsi="Times New Roman" w:cs="Times New Roman"/>
          <w:szCs w:val="22"/>
        </w:rPr>
      </w:pPr>
    </w:p>
    <w:p w14:paraId="3650CE03" w14:textId="77777777" w:rsidR="002B6B66" w:rsidRPr="00041FD7" w:rsidRDefault="002B6B66" w:rsidP="007F643E">
      <w:pPr>
        <w:spacing w:after="200" w:line="276" w:lineRule="auto"/>
        <w:rPr>
          <w:rFonts w:ascii="Times New Roman" w:hAnsi="Times New Roman" w:cs="Times New Roman"/>
          <w:szCs w:val="22"/>
          <w:lang w:eastAsia="en-US"/>
        </w:rPr>
      </w:pPr>
      <w:r w:rsidRPr="00041FD7">
        <w:rPr>
          <w:rFonts w:ascii="Times New Roman" w:hAnsi="Times New Roman" w:cs="Times New Roman"/>
          <w:szCs w:val="22"/>
          <w:lang w:eastAsia="en-US"/>
        </w:rPr>
        <w:t>Reformatted text by Investor-State LawGuide</w:t>
      </w:r>
    </w:p>
    <w:p w14:paraId="54FC113F" w14:textId="77777777" w:rsidR="002B6B66" w:rsidRPr="00041FD7" w:rsidRDefault="002B6B66" w:rsidP="007F643E">
      <w:pPr>
        <w:spacing w:after="200" w:line="276" w:lineRule="auto"/>
        <w:rPr>
          <w:rFonts w:ascii="Times New Roman" w:hAnsi="Times New Roman" w:cs="Times New Roman"/>
          <w:szCs w:val="22"/>
        </w:rPr>
      </w:pPr>
    </w:p>
    <w:p w14:paraId="652E74A7" w14:textId="77777777" w:rsidR="002B6B66" w:rsidRPr="00041FD7" w:rsidRDefault="002B6B66" w:rsidP="007F643E">
      <w:pPr>
        <w:spacing w:after="200" w:line="276" w:lineRule="auto"/>
        <w:rPr>
          <w:rFonts w:ascii="Times New Roman" w:hAnsi="Times New Roman" w:cs="Times New Roman"/>
          <w:szCs w:val="22"/>
          <w:lang w:eastAsia="en-US"/>
        </w:rPr>
      </w:pPr>
      <w:r w:rsidRPr="00041FD7">
        <w:rPr>
          <w:rFonts w:ascii="Times New Roman" w:hAnsi="Times New Roman" w:cs="Times New Roman"/>
          <w:szCs w:val="22"/>
          <w:lang w:eastAsia="en-US"/>
        </w:rPr>
        <w:t>The formatting of this document may vary from that of the original document.</w:t>
      </w:r>
    </w:p>
    <w:p w14:paraId="423E118B" w14:textId="77777777" w:rsidR="00655106" w:rsidRPr="00041FD7" w:rsidRDefault="00655106" w:rsidP="00655106">
      <w:pPr>
        <w:rPr>
          <w:rFonts w:ascii="Times New Roman" w:hAnsi="Times New Roman" w:cs="Times New Roman"/>
        </w:rPr>
      </w:pPr>
    </w:p>
    <w:p w14:paraId="6233EA65" w14:textId="77777777" w:rsidR="00F8250A" w:rsidRPr="00041FD7" w:rsidRDefault="00F8250A" w:rsidP="00655106">
      <w:pPr>
        <w:rPr>
          <w:rFonts w:ascii="Times New Roman" w:hAnsi="Times New Roman" w:cs="Times New Roman"/>
        </w:rPr>
      </w:pPr>
    </w:p>
    <w:p w14:paraId="7CB409EB" w14:textId="77777777" w:rsidR="00655106" w:rsidRPr="00041FD7" w:rsidRDefault="00655106" w:rsidP="00655106">
      <w:pPr>
        <w:rPr>
          <w:rFonts w:ascii="Times New Roman" w:hAnsi="Times New Roman" w:cs="Times New Roman"/>
        </w:rPr>
      </w:pPr>
    </w:p>
    <w:p w14:paraId="21ED656C" w14:textId="77777777" w:rsidR="00655106" w:rsidRPr="00041FD7" w:rsidRDefault="00655106" w:rsidP="00655106">
      <w:pPr>
        <w:jc w:val="center"/>
        <w:rPr>
          <w:rFonts w:ascii="Times New Roman" w:hAnsi="Times New Roman" w:cs="Times New Roman"/>
        </w:rPr>
        <w:sectPr w:rsidR="00655106" w:rsidRPr="00041FD7" w:rsidSect="001843D9">
          <w:footerReference w:type="default" r:id="rId8"/>
          <w:type w:val="continuous"/>
          <w:pgSz w:w="12240" w:h="15840"/>
          <w:pgMar w:top="5098" w:right="1440" w:bottom="4536" w:left="1440" w:header="706" w:footer="706" w:gutter="0"/>
          <w:cols w:space="708"/>
          <w:titlePg/>
          <w:docGrid w:linePitch="360"/>
        </w:sectPr>
      </w:pPr>
    </w:p>
    <w:p w14:paraId="2B58AD30" w14:textId="77777777" w:rsidR="00826AE3" w:rsidRPr="00041FD7" w:rsidRDefault="001F3DC8" w:rsidP="00655106">
      <w:pPr>
        <w:spacing w:line="362" w:lineRule="auto"/>
        <w:jc w:val="both"/>
        <w:rPr>
          <w:rFonts w:ascii="Times New Roman" w:eastAsia="Times New Roman" w:hAnsi="Times New Roman" w:cs="Times New Roman"/>
        </w:rPr>
      </w:pPr>
      <w:r w:rsidRPr="00041FD7">
        <w:rPr>
          <w:rFonts w:ascii="Times New Roman" w:hAnsi="Times New Roman" w:cs="Times New Roman"/>
          <w:noProof/>
          <w:lang w:val="en-US" w:eastAsia="en-US"/>
        </w:rPr>
        <w:drawing>
          <wp:anchor distT="0" distB="0" distL="114300" distR="114300" simplePos="0" relativeHeight="251657728" behindDoc="0" locked="0" layoutInCell="1" allowOverlap="1" wp14:anchorId="01B0C4A0" wp14:editId="7573CF2A">
            <wp:simplePos x="0" y="0"/>
            <wp:positionH relativeFrom="column">
              <wp:posOffset>0</wp:posOffset>
            </wp:positionH>
            <wp:positionV relativeFrom="paragraph">
              <wp:posOffset>22860</wp:posOffset>
            </wp:positionV>
            <wp:extent cx="3672205" cy="511175"/>
            <wp:effectExtent l="0" t="0" r="4445" b="3175"/>
            <wp:wrapNone/>
            <wp:docPr id="2" name="Picture 2" descr="ISLG-Full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LG-FullH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2205" cy="511175"/>
                    </a:xfrm>
                    <a:prstGeom prst="rect">
                      <a:avLst/>
                    </a:prstGeom>
                    <a:noFill/>
                    <a:ln>
                      <a:noFill/>
                    </a:ln>
                  </pic:spPr>
                </pic:pic>
              </a:graphicData>
            </a:graphic>
          </wp:anchor>
        </w:drawing>
      </w:r>
    </w:p>
    <w:p w14:paraId="03F8D2D2" w14:textId="77777777" w:rsidR="00826AE3" w:rsidRPr="00041FD7" w:rsidRDefault="00826AE3" w:rsidP="00EA61E9">
      <w:pPr>
        <w:spacing w:line="363" w:lineRule="auto"/>
        <w:ind w:left="360" w:right="360" w:firstLine="217"/>
        <w:jc w:val="both"/>
        <w:rPr>
          <w:rFonts w:ascii="Times New Roman" w:eastAsia="Times New Roman" w:hAnsi="Times New Roman" w:cs="Times New Roman"/>
        </w:rPr>
      </w:pPr>
    </w:p>
    <w:p w14:paraId="7BBC8798" w14:textId="77777777" w:rsidR="00BC770A" w:rsidRPr="00041FD7" w:rsidRDefault="00BC770A">
      <w:pPr>
        <w:rPr>
          <w:rStyle w:val="BodyText10"/>
          <w:rFonts w:eastAsia="Calibri"/>
          <w:sz w:val="20"/>
          <w:szCs w:val="20"/>
          <w:u w:val="none"/>
        </w:rPr>
      </w:pPr>
      <w:bookmarkStart w:id="0" w:name="page14"/>
      <w:bookmarkStart w:id="1" w:name="page24"/>
      <w:bookmarkEnd w:id="0"/>
      <w:bookmarkEnd w:id="1"/>
      <w:r w:rsidRPr="00041FD7">
        <w:rPr>
          <w:rStyle w:val="BodyText10"/>
          <w:rFonts w:eastAsia="Calibri"/>
          <w:sz w:val="20"/>
          <w:szCs w:val="20"/>
          <w:u w:val="none"/>
        </w:rPr>
        <w:br w:type="page"/>
      </w:r>
    </w:p>
    <w:p w14:paraId="0AAAD319" w14:textId="77777777" w:rsidR="00041FD7" w:rsidRPr="00AB7B88" w:rsidRDefault="003B3957" w:rsidP="00A4251A">
      <w:pPr>
        <w:pStyle w:val="Bodytext20"/>
        <w:shd w:val="clear" w:color="auto" w:fill="auto"/>
        <w:spacing w:after="800" w:line="360" w:lineRule="auto"/>
        <w:rPr>
          <w:rStyle w:val="Bodytext2"/>
          <w:b/>
          <w:bCs/>
          <w:color w:val="000000"/>
          <w:sz w:val="20"/>
          <w:lang w:eastAsia="es-ES_tradnl"/>
        </w:rPr>
      </w:pPr>
      <w:r w:rsidRPr="00AB7B88">
        <w:rPr>
          <w:rStyle w:val="Bodytext2"/>
          <w:b/>
          <w:bCs/>
          <w:color w:val="000000"/>
          <w:sz w:val="20"/>
          <w:lang w:eastAsia="es-ES_tradnl"/>
        </w:rPr>
        <w:lastRenderedPageBreak/>
        <w:t>PCA (PERMANENT COURT OF ARBITRATION)</w:t>
      </w:r>
    </w:p>
    <w:p w14:paraId="567129BE" w14:textId="77777777" w:rsidR="003B3957" w:rsidRPr="00AB7B88" w:rsidRDefault="003B3957" w:rsidP="008507BB">
      <w:pPr>
        <w:pStyle w:val="Bodytext20"/>
        <w:shd w:val="clear" w:color="auto" w:fill="auto"/>
        <w:spacing w:before="0" w:after="2171" w:line="360" w:lineRule="auto"/>
        <w:rPr>
          <w:sz w:val="20"/>
        </w:rPr>
      </w:pPr>
      <w:r w:rsidRPr="00AB7B88">
        <w:rPr>
          <w:rStyle w:val="Bodytext2"/>
          <w:b/>
          <w:bCs/>
          <w:color w:val="000000"/>
          <w:sz w:val="20"/>
          <w:lang w:eastAsia="es-ES_tradnl"/>
        </w:rPr>
        <w:t>PCA Case No. 2018-04</w:t>
      </w:r>
    </w:p>
    <w:p w14:paraId="4E5B38B0" w14:textId="77777777" w:rsidR="003B3957" w:rsidRPr="00AB7B88" w:rsidRDefault="003B3957" w:rsidP="00C93BF5">
      <w:pPr>
        <w:pStyle w:val="Bodytext20"/>
        <w:shd w:val="clear" w:color="auto" w:fill="auto"/>
        <w:spacing w:after="73" w:line="360" w:lineRule="auto"/>
        <w:ind w:left="20"/>
        <w:rPr>
          <w:sz w:val="20"/>
        </w:rPr>
      </w:pPr>
      <w:r w:rsidRPr="00AB7B88">
        <w:rPr>
          <w:rStyle w:val="Bodytext2"/>
          <w:b/>
          <w:bCs/>
          <w:color w:val="000000"/>
          <w:sz w:val="20"/>
          <w:lang w:eastAsia="es-ES_tradnl"/>
        </w:rPr>
        <w:t>PRENAY AGARWAL, VINITA AGARWAL AND RITIKA MEHTA V. ORIENTAL REPUBLIC OF</w:t>
      </w:r>
      <w:r w:rsidR="00C93BF5" w:rsidRPr="00AB7B88">
        <w:rPr>
          <w:rStyle w:val="Bodytext2"/>
          <w:b/>
          <w:bCs/>
          <w:color w:val="000000"/>
          <w:sz w:val="20"/>
          <w:lang w:eastAsia="es-ES_tradnl"/>
        </w:rPr>
        <w:t xml:space="preserve"> </w:t>
      </w:r>
      <w:r w:rsidRPr="00AB7B88">
        <w:rPr>
          <w:rStyle w:val="Bodytext2"/>
          <w:b/>
          <w:bCs/>
          <w:color w:val="000000"/>
          <w:sz w:val="20"/>
          <w:lang w:eastAsia="es-ES_tradnl"/>
        </w:rPr>
        <w:t>URUGUAY</w:t>
      </w:r>
    </w:p>
    <w:p w14:paraId="1C9A8989" w14:textId="7BB6ADB2" w:rsidR="003B3957" w:rsidRPr="00AB7B88" w:rsidRDefault="001F2CE5" w:rsidP="008507BB">
      <w:pPr>
        <w:pStyle w:val="Bodytext20"/>
        <w:shd w:val="clear" w:color="auto" w:fill="auto"/>
        <w:spacing w:before="2000" w:after="0" w:line="360" w:lineRule="auto"/>
        <w:rPr>
          <w:sz w:val="20"/>
        </w:rPr>
      </w:pPr>
      <w:r>
        <w:rPr>
          <w:b/>
          <w:bCs/>
          <w:noProof/>
          <w:color w:val="000000"/>
          <w:sz w:val="20"/>
          <w:lang w:val="es-AR" w:eastAsia="es-AR"/>
        </w:rPr>
        <mc:AlternateContent>
          <mc:Choice Requires="wps">
            <w:drawing>
              <wp:anchor distT="0" distB="0" distL="114300" distR="114300" simplePos="0" relativeHeight="251658752" behindDoc="0" locked="0" layoutInCell="1" allowOverlap="1" wp14:anchorId="76DF826E" wp14:editId="063D60C9">
                <wp:simplePos x="0" y="0"/>
                <wp:positionH relativeFrom="column">
                  <wp:posOffset>-15875</wp:posOffset>
                </wp:positionH>
                <wp:positionV relativeFrom="paragraph">
                  <wp:posOffset>822960</wp:posOffset>
                </wp:positionV>
                <wp:extent cx="5874385" cy="0"/>
                <wp:effectExtent l="12700" t="8890" r="8890" b="101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486BFF" id="_x0000_t32" coordsize="21600,21600" o:spt="32" o:oned="t" path="m,l21600,21600e" filled="f">
                <v:path arrowok="t" fillok="f" o:connecttype="none"/>
                <o:lock v:ext="edit" shapetype="t"/>
              </v:shapetype>
              <v:shape id="AutoShape 2" o:spid="_x0000_s1026" type="#_x0000_t32" style="position:absolute;margin-left:-1.25pt;margin-top:64.8pt;width:462.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"/>
            </w:pict>
          </mc:Fallback>
        </mc:AlternateContent>
      </w:r>
      <w:r w:rsidR="003B3957" w:rsidRPr="00AB7B88">
        <w:rPr>
          <w:rStyle w:val="Bodytext2"/>
          <w:b/>
          <w:bCs/>
          <w:color w:val="000000"/>
          <w:sz w:val="20"/>
          <w:lang w:eastAsia="es-ES_tradnl"/>
        </w:rPr>
        <w:t>LAUDO</w:t>
      </w:r>
    </w:p>
    <w:p w14:paraId="6F9B1F30" w14:textId="0D84F9DC" w:rsidR="003B3957" w:rsidRPr="00AB7B88" w:rsidRDefault="001F2CE5" w:rsidP="00ED3B05">
      <w:pPr>
        <w:pStyle w:val="Bodytext20"/>
        <w:shd w:val="clear" w:color="auto" w:fill="auto"/>
        <w:spacing w:before="1500" w:after="1935" w:line="360" w:lineRule="auto"/>
        <w:ind w:right="261"/>
        <w:jc w:val="right"/>
        <w:rPr>
          <w:sz w:val="20"/>
        </w:rPr>
      </w:pPr>
      <w:r>
        <w:rPr>
          <w:b/>
          <w:bCs/>
          <w:noProof/>
          <w:color w:val="000000"/>
          <w:sz w:val="20"/>
          <w:lang w:val="es-AR" w:eastAsia="es-AR"/>
        </w:rPr>
        <mc:AlternateContent>
          <mc:Choice Requires="wps">
            <w:drawing>
              <wp:anchor distT="0" distB="0" distL="114300" distR="114300" simplePos="0" relativeHeight="251659776" behindDoc="0" locked="0" layoutInCell="1" allowOverlap="1" wp14:anchorId="779BB6C2" wp14:editId="78F942CF">
                <wp:simplePos x="0" y="0"/>
                <wp:positionH relativeFrom="column">
                  <wp:posOffset>-23495</wp:posOffset>
                </wp:positionH>
                <wp:positionV relativeFrom="paragraph">
                  <wp:posOffset>317500</wp:posOffset>
                </wp:positionV>
                <wp:extent cx="5874385" cy="0"/>
                <wp:effectExtent l="5080" t="12700" r="698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541F9" id="AutoShape 3" o:spid="_x0000_s1026" type="#_x0000_t32" style="position:absolute;margin-left:-1.85pt;margin-top:25pt;width:462.5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"/>
            </w:pict>
          </mc:Fallback>
        </mc:AlternateContent>
      </w:r>
      <w:r w:rsidR="003B3957" w:rsidRPr="00AB7B88">
        <w:rPr>
          <w:rStyle w:val="Bodytext2"/>
          <w:b/>
          <w:bCs/>
          <w:color w:val="000000"/>
          <w:sz w:val="20"/>
          <w:lang w:eastAsia="es-ES_tradnl"/>
        </w:rPr>
        <w:t>06 August 2020</w:t>
      </w:r>
    </w:p>
    <w:p w14:paraId="2D086D26" w14:textId="77777777" w:rsidR="003B3957" w:rsidRPr="00AB7B88" w:rsidRDefault="003B3957" w:rsidP="00FA4E28">
      <w:pPr>
        <w:pStyle w:val="Bodytext1"/>
        <w:shd w:val="clear" w:color="auto" w:fill="auto"/>
        <w:spacing w:before="2800" w:line="360" w:lineRule="auto"/>
        <w:ind w:firstLine="0"/>
        <w:rPr>
          <w:sz w:val="20"/>
        </w:rPr>
      </w:pPr>
      <w:r w:rsidRPr="00AB7B88">
        <w:rPr>
          <w:color w:val="000000"/>
          <w:sz w:val="20"/>
          <w:u w:val="single"/>
          <w:lang w:eastAsia="es-ES_tradnl"/>
        </w:rPr>
        <w:t>Tribunal</w:t>
      </w:r>
      <w:r w:rsidRPr="00AB7B88">
        <w:rPr>
          <w:rStyle w:val="Bodytext"/>
          <w:color w:val="000000"/>
          <w:sz w:val="20"/>
          <w:lang w:eastAsia="es-ES_tradnl"/>
        </w:rPr>
        <w:t>:</w:t>
      </w:r>
    </w:p>
    <w:p w14:paraId="37501642" w14:textId="77777777" w:rsidR="003B3957" w:rsidRPr="00AB7B88" w:rsidRDefault="003B3957" w:rsidP="00FA4E28">
      <w:pPr>
        <w:pStyle w:val="Bodytext1"/>
        <w:shd w:val="clear" w:color="auto" w:fill="auto"/>
        <w:spacing w:before="0" w:line="360" w:lineRule="auto"/>
        <w:ind w:firstLine="0"/>
        <w:rPr>
          <w:sz w:val="20"/>
        </w:rPr>
      </w:pPr>
      <w:r w:rsidRPr="00AB7B88">
        <w:rPr>
          <w:rStyle w:val="Bodytext71"/>
          <w:rFonts w:ascii="Times New Roman" w:hAnsi="Times New Roman"/>
          <w:color w:val="000000"/>
          <w:sz w:val="20"/>
          <w:lang w:eastAsia="es-ES_tradnl"/>
        </w:rPr>
        <w:t>Andrés Rigo</w:t>
      </w:r>
      <w:r w:rsidRPr="001F2CE5">
        <w:rPr>
          <w:rStyle w:val="Bodytext71"/>
          <w:rFonts w:ascii="Times New Roman" w:hAnsi="Times New Roman"/>
          <w:color w:val="000000"/>
          <w:sz w:val="20"/>
          <w:lang w:val="en-CA" w:eastAsia="es-ES_tradnl"/>
        </w:rPr>
        <w:t xml:space="preserve"> Sureda</w:t>
      </w:r>
      <w:r w:rsidRPr="00AB7B88">
        <w:rPr>
          <w:rStyle w:val="Bodytext61"/>
          <w:rFonts w:ascii="Times New Roman" w:hAnsi="Times New Roman"/>
          <w:color w:val="000000"/>
          <w:sz w:val="20"/>
          <w:lang w:eastAsia="es-ES_tradnl"/>
        </w:rPr>
        <w:t xml:space="preserve"> </w:t>
      </w:r>
      <w:r w:rsidRPr="00AB7B88">
        <w:rPr>
          <w:rStyle w:val="Bodytext"/>
          <w:color w:val="000000"/>
          <w:sz w:val="20"/>
          <w:lang w:eastAsia="es-ES_tradnl"/>
        </w:rPr>
        <w:t>(President)</w:t>
      </w:r>
    </w:p>
    <w:p w14:paraId="1672B872" w14:textId="77777777" w:rsidR="00041FD7" w:rsidRPr="00AB7B88" w:rsidRDefault="003B3957" w:rsidP="00FA4E28">
      <w:pPr>
        <w:pStyle w:val="Bodytext1"/>
        <w:shd w:val="clear" w:color="auto" w:fill="auto"/>
        <w:tabs>
          <w:tab w:val="left" w:pos="270"/>
        </w:tabs>
        <w:spacing w:before="0" w:line="360" w:lineRule="auto"/>
        <w:ind w:firstLine="0"/>
        <w:rPr>
          <w:rStyle w:val="Bodytext"/>
          <w:color w:val="000000"/>
          <w:sz w:val="20"/>
          <w:lang w:eastAsia="es-ES_tradnl"/>
        </w:rPr>
      </w:pPr>
      <w:r w:rsidRPr="00AB7B88">
        <w:rPr>
          <w:rStyle w:val="Bodytext71"/>
          <w:rFonts w:ascii="Times New Roman" w:hAnsi="Times New Roman"/>
          <w:color w:val="000000"/>
          <w:sz w:val="20"/>
          <w:lang w:eastAsia="es-ES_tradnl"/>
        </w:rPr>
        <w:t>O.</w:t>
      </w:r>
      <w:r w:rsidR="00A4251A" w:rsidRPr="00AB7B88">
        <w:rPr>
          <w:rStyle w:val="Bodytext71"/>
          <w:rFonts w:ascii="Times New Roman" w:hAnsi="Times New Roman"/>
          <w:color w:val="000000"/>
          <w:sz w:val="20"/>
          <w:lang w:eastAsia="es-ES_tradnl"/>
        </w:rPr>
        <w:t xml:space="preserve"> </w:t>
      </w:r>
      <w:r w:rsidRPr="00AB7B88">
        <w:rPr>
          <w:rStyle w:val="Bodytext71"/>
          <w:rFonts w:ascii="Times New Roman" w:hAnsi="Times New Roman"/>
          <w:color w:val="000000"/>
          <w:sz w:val="20"/>
          <w:lang w:eastAsia="es-ES_tradnl"/>
        </w:rPr>
        <w:t>Thomas Johnson, Jr.</w:t>
      </w:r>
      <w:r w:rsidRPr="00AB7B88">
        <w:rPr>
          <w:rStyle w:val="Bodytext61"/>
          <w:rFonts w:ascii="Times New Roman" w:hAnsi="Times New Roman"/>
          <w:color w:val="000000"/>
          <w:sz w:val="20"/>
          <w:lang w:eastAsia="es-ES_tradnl"/>
        </w:rPr>
        <w:t xml:space="preserve"> </w:t>
      </w:r>
      <w:r w:rsidRPr="00AB7B88">
        <w:rPr>
          <w:rStyle w:val="Bodytext"/>
          <w:color w:val="000000"/>
          <w:sz w:val="20"/>
          <w:lang w:eastAsia="es-ES_tradnl"/>
        </w:rPr>
        <w:t>(Appointed by the investor)</w:t>
      </w:r>
    </w:p>
    <w:p w14:paraId="4A1AB86B" w14:textId="77777777" w:rsidR="003B3957" w:rsidRPr="00AB7B88" w:rsidRDefault="003B3957" w:rsidP="00FA4E28">
      <w:pPr>
        <w:pStyle w:val="Bodytext1"/>
        <w:shd w:val="clear" w:color="auto" w:fill="auto"/>
        <w:tabs>
          <w:tab w:val="left" w:pos="270"/>
        </w:tabs>
        <w:spacing w:before="0" w:line="360" w:lineRule="auto"/>
        <w:ind w:firstLine="0"/>
        <w:rPr>
          <w:sz w:val="20"/>
        </w:rPr>
      </w:pPr>
      <w:r w:rsidRPr="00AB7B88">
        <w:rPr>
          <w:rStyle w:val="Bodytext71"/>
          <w:rFonts w:ascii="Times New Roman" w:hAnsi="Times New Roman"/>
          <w:color w:val="000000"/>
          <w:sz w:val="20"/>
          <w:lang w:eastAsia="es-ES_tradnl"/>
        </w:rPr>
        <w:t>Pierre Mayer</w:t>
      </w:r>
      <w:r w:rsidRPr="00AB7B88">
        <w:rPr>
          <w:rStyle w:val="Bodytext61"/>
          <w:rFonts w:ascii="Times New Roman" w:hAnsi="Times New Roman"/>
          <w:color w:val="000000"/>
          <w:sz w:val="20"/>
          <w:lang w:eastAsia="es-ES_tradnl"/>
        </w:rPr>
        <w:t xml:space="preserve"> </w:t>
      </w:r>
      <w:r w:rsidRPr="00AB7B88">
        <w:rPr>
          <w:rStyle w:val="Bodytext"/>
          <w:color w:val="000000"/>
          <w:sz w:val="20"/>
          <w:lang w:eastAsia="es-ES_tradnl"/>
        </w:rPr>
        <w:t>(Appointed by the State)</w:t>
      </w:r>
    </w:p>
    <w:p w14:paraId="7E21B3E3" w14:textId="77777777" w:rsidR="00041FD7" w:rsidRPr="00AB7B88" w:rsidRDefault="00041FD7" w:rsidP="0011374D">
      <w:pPr>
        <w:pStyle w:val="TOC1"/>
        <w:spacing w:line="360" w:lineRule="auto"/>
        <w:rPr>
          <w:rFonts w:ascii="Times New Roman" w:hAnsi="Times New Roman"/>
          <w:sz w:val="20"/>
          <w:lang w:val="es-AR"/>
        </w:rPr>
      </w:pPr>
      <w:r w:rsidRPr="00AB7B88">
        <w:rPr>
          <w:rFonts w:ascii="Times New Roman" w:hAnsi="Times New Roman"/>
          <w:sz w:val="20"/>
          <w:lang w:val="es-AR"/>
        </w:rPr>
        <w:lastRenderedPageBreak/>
        <w:t>Table of Contents</w:t>
      </w:r>
    </w:p>
    <w:p w14:paraId="6DFF158E" w14:textId="77777777" w:rsidR="003B3957" w:rsidRPr="00AB7B88" w:rsidRDefault="001F2CE5" w:rsidP="0011374D">
      <w:pPr>
        <w:pStyle w:val="TOC1"/>
        <w:spacing w:line="360" w:lineRule="auto"/>
        <w:rPr>
          <w:rFonts w:ascii="Times New Roman" w:hAnsi="Times New Roman"/>
          <w:sz w:val="20"/>
          <w:lang w:val="es-AR"/>
        </w:rPr>
      </w:pPr>
      <w:hyperlink w:anchor="bookmark5" w:tooltip="Current Document" w:history="1">
        <w:r w:rsidR="003B3957" w:rsidRPr="00AB7B88">
          <w:rPr>
            <w:rStyle w:val="TOC1Char"/>
            <w:rFonts w:ascii="Times New Roman" w:hAnsi="Times New Roman"/>
            <w:sz w:val="20"/>
            <w:lang w:val="es-AR" w:eastAsia="es-ES_tradnl"/>
          </w:rPr>
          <w:t>Laudo</w:t>
        </w:r>
        <w:r w:rsidR="003B3957" w:rsidRPr="00AB7B88">
          <w:rPr>
            <w:rStyle w:val="TOC1Char"/>
            <w:rFonts w:ascii="Times New Roman" w:hAnsi="Times New Roman"/>
            <w:sz w:val="20"/>
            <w:lang w:val="es-AR" w:eastAsia="es-ES_tradnl"/>
          </w:rPr>
          <w:tab/>
          <w:t>1</w:t>
        </w:r>
      </w:hyperlink>
    </w:p>
    <w:p w14:paraId="6DEADFCB" w14:textId="77777777" w:rsidR="003B3957" w:rsidRPr="00AB7B88" w:rsidRDefault="001F2CE5" w:rsidP="0011374D">
      <w:pPr>
        <w:pStyle w:val="TOC1"/>
        <w:spacing w:line="360" w:lineRule="auto"/>
        <w:rPr>
          <w:rFonts w:ascii="Times New Roman" w:hAnsi="Times New Roman"/>
          <w:sz w:val="20"/>
          <w:lang w:val="es-AR"/>
        </w:rPr>
      </w:pPr>
      <w:hyperlink w:anchor="bookmark8" w:tooltip="Current Document" w:history="1">
        <w:r w:rsidR="003B3957" w:rsidRPr="00AB7B88">
          <w:rPr>
            <w:rStyle w:val="TOC1Char"/>
            <w:rFonts w:ascii="Times New Roman" w:hAnsi="Times New Roman"/>
            <w:sz w:val="20"/>
            <w:lang w:val="es-AR" w:eastAsia="es-ES_tradnl"/>
          </w:rPr>
          <w:t>TÉRMINOS DEFINIDOS</w:t>
        </w:r>
        <w:r w:rsidR="003B3957" w:rsidRPr="00AB7B88">
          <w:rPr>
            <w:rStyle w:val="TOC1Char"/>
            <w:rFonts w:ascii="Times New Roman" w:hAnsi="Times New Roman"/>
            <w:sz w:val="20"/>
            <w:lang w:val="es-AR" w:eastAsia="es-ES_tradnl"/>
          </w:rPr>
          <w:tab/>
          <w:t>1</w:t>
        </w:r>
      </w:hyperlink>
    </w:p>
    <w:p w14:paraId="66986EA6" w14:textId="77777777" w:rsidR="003B3957" w:rsidRPr="00AB7B88" w:rsidRDefault="001F2CE5" w:rsidP="0011374D">
      <w:pPr>
        <w:pStyle w:val="TOC1"/>
        <w:spacing w:line="360" w:lineRule="auto"/>
        <w:rPr>
          <w:rFonts w:ascii="Times New Roman" w:hAnsi="Times New Roman"/>
          <w:sz w:val="20"/>
          <w:lang w:val="es-AR"/>
        </w:rPr>
      </w:pPr>
      <w:hyperlink w:anchor="bookmark10" w:tooltip="Current Document" w:history="1">
        <w:r w:rsidR="003B3957" w:rsidRPr="00AB7B88">
          <w:rPr>
            <w:rStyle w:val="TOC1Char"/>
            <w:rFonts w:ascii="Times New Roman" w:hAnsi="Times New Roman"/>
            <w:sz w:val="20"/>
            <w:lang w:val="es-AR" w:eastAsia="es-ES_tradnl"/>
          </w:rPr>
          <w:t>DRAMATIS PERSONAE</w:t>
        </w:r>
        <w:r w:rsidR="003B3957" w:rsidRPr="00AB7B88">
          <w:rPr>
            <w:rStyle w:val="TOC1Char"/>
            <w:rFonts w:ascii="Times New Roman" w:hAnsi="Times New Roman"/>
            <w:sz w:val="20"/>
            <w:lang w:val="es-AR" w:eastAsia="es-ES_tradnl"/>
          </w:rPr>
          <w:tab/>
          <w:t>5</w:t>
        </w:r>
      </w:hyperlink>
    </w:p>
    <w:p w14:paraId="00D9B28C" w14:textId="77777777" w:rsidR="003B3957" w:rsidRPr="00AB7B88" w:rsidRDefault="001F2CE5" w:rsidP="0011374D">
      <w:pPr>
        <w:pStyle w:val="TOC1"/>
        <w:spacing w:line="360" w:lineRule="auto"/>
        <w:rPr>
          <w:rFonts w:ascii="Times New Roman" w:hAnsi="Times New Roman"/>
          <w:sz w:val="20"/>
          <w:lang w:val="es-AR"/>
        </w:rPr>
      </w:pPr>
      <w:hyperlink w:anchor="bookmark12" w:tooltip="Current Document" w:history="1">
        <w:r w:rsidR="003B3957" w:rsidRPr="00AB7B88">
          <w:rPr>
            <w:rStyle w:val="TOC1Char"/>
            <w:rFonts w:ascii="Times New Roman" w:hAnsi="Times New Roman"/>
            <w:sz w:val="20"/>
            <w:lang w:val="es-AR" w:eastAsia="es-ES_tradnl"/>
          </w:rPr>
          <w:t>I. INTRODUCCIÓN</w:t>
        </w:r>
        <w:r w:rsidR="003B3957" w:rsidRPr="00AB7B88">
          <w:rPr>
            <w:rStyle w:val="TOC1Char"/>
            <w:rFonts w:ascii="Times New Roman" w:hAnsi="Times New Roman"/>
            <w:sz w:val="20"/>
            <w:lang w:val="es-AR" w:eastAsia="es-ES_tradnl"/>
          </w:rPr>
          <w:tab/>
          <w:t>8</w:t>
        </w:r>
      </w:hyperlink>
    </w:p>
    <w:p w14:paraId="3AA348FA" w14:textId="77777777" w:rsidR="003B3957" w:rsidRPr="00AB7B88" w:rsidRDefault="00C541E0" w:rsidP="0011374D">
      <w:pPr>
        <w:pStyle w:val="TOC1"/>
        <w:spacing w:line="360" w:lineRule="auto"/>
        <w:rPr>
          <w:rFonts w:ascii="Times New Roman" w:hAnsi="Times New Roman"/>
          <w:sz w:val="20"/>
          <w:lang w:val="es-AR"/>
        </w:rPr>
      </w:pPr>
      <w:r w:rsidRPr="00AB7B88">
        <w:rPr>
          <w:rFonts w:ascii="Times New Roman" w:hAnsi="Times New Roman"/>
          <w:sz w:val="20"/>
          <w:lang w:val="es-AR"/>
        </w:rPr>
        <w:t xml:space="preserve">1. </w:t>
      </w:r>
      <w:hyperlink w:anchor="bookmark14" w:tooltip="Current Document" w:history="1">
        <w:r w:rsidR="003B3957" w:rsidRPr="00AB7B88">
          <w:rPr>
            <w:rStyle w:val="TOC1Char"/>
            <w:rFonts w:ascii="Times New Roman" w:hAnsi="Times New Roman"/>
            <w:sz w:val="20"/>
            <w:lang w:val="es-AR" w:eastAsia="es-ES_tradnl"/>
          </w:rPr>
          <w:t>Las Partes</w:t>
        </w:r>
        <w:r w:rsidR="003B3957" w:rsidRPr="00AB7B88">
          <w:rPr>
            <w:rStyle w:val="TOC1Char"/>
            <w:rFonts w:ascii="Times New Roman" w:hAnsi="Times New Roman"/>
            <w:sz w:val="20"/>
            <w:lang w:val="es-AR" w:eastAsia="es-ES_tradnl"/>
          </w:rPr>
          <w:tab/>
          <w:t xml:space="preserve"> 8</w:t>
        </w:r>
      </w:hyperlink>
    </w:p>
    <w:p w14:paraId="2533676E" w14:textId="77777777" w:rsidR="003B3957" w:rsidRPr="00AB7B88" w:rsidRDefault="00C541E0" w:rsidP="0011374D">
      <w:pPr>
        <w:pStyle w:val="TOC1"/>
        <w:spacing w:line="360" w:lineRule="auto"/>
        <w:rPr>
          <w:rFonts w:ascii="Times New Roman" w:hAnsi="Times New Roman"/>
          <w:sz w:val="20"/>
          <w:lang w:val="es-AR"/>
        </w:rPr>
      </w:pPr>
      <w:r w:rsidRPr="00AB7B88">
        <w:rPr>
          <w:rFonts w:ascii="Times New Roman" w:hAnsi="Times New Roman"/>
          <w:sz w:val="20"/>
          <w:lang w:val="es-AR"/>
        </w:rPr>
        <w:t xml:space="preserve">2. </w:t>
      </w:r>
      <w:hyperlink w:anchor="bookmark16" w:tooltip="Current Document" w:history="1">
        <w:r w:rsidR="003B3957" w:rsidRPr="00AB7B88">
          <w:rPr>
            <w:rStyle w:val="TOC1Char"/>
            <w:rFonts w:ascii="Times New Roman" w:hAnsi="Times New Roman"/>
            <w:sz w:val="20"/>
            <w:lang w:val="es-AR" w:eastAsia="es-ES_tradnl"/>
          </w:rPr>
          <w:t xml:space="preserve">La controversia </w:t>
        </w:r>
        <w:r w:rsidR="003B3957" w:rsidRPr="00AB7B88">
          <w:rPr>
            <w:rStyle w:val="TOC1Char"/>
            <w:rFonts w:ascii="Times New Roman" w:hAnsi="Times New Roman"/>
            <w:sz w:val="20"/>
            <w:lang w:val="es-AR" w:eastAsia="es-ES_tradnl"/>
          </w:rPr>
          <w:tab/>
          <w:t xml:space="preserve"> 9</w:t>
        </w:r>
      </w:hyperlink>
    </w:p>
    <w:p w14:paraId="4013A647" w14:textId="77777777" w:rsidR="003B3957" w:rsidRPr="00AB7B88" w:rsidRDefault="001F2CE5" w:rsidP="0011374D">
      <w:pPr>
        <w:pStyle w:val="TOC1"/>
        <w:spacing w:line="360" w:lineRule="auto"/>
        <w:rPr>
          <w:rFonts w:ascii="Times New Roman" w:hAnsi="Times New Roman"/>
          <w:sz w:val="20"/>
          <w:lang w:val="es-AR"/>
        </w:rPr>
      </w:pPr>
      <w:hyperlink w:anchor="bookmark18" w:tooltip="Current Document" w:history="1">
        <w:r w:rsidR="003B3957" w:rsidRPr="00AB7B88">
          <w:rPr>
            <w:rStyle w:val="TOC1Char"/>
            <w:rFonts w:ascii="Times New Roman" w:hAnsi="Times New Roman"/>
            <w:sz w:val="20"/>
            <w:lang w:val="es-AR" w:eastAsia="es-ES_tradnl"/>
          </w:rPr>
          <w:t>II. ANTECEDENTES PROCESALES</w:t>
        </w:r>
        <w:r w:rsidR="003B3957" w:rsidRPr="00AB7B88">
          <w:rPr>
            <w:rStyle w:val="TOC1Char"/>
            <w:rFonts w:ascii="Times New Roman" w:hAnsi="Times New Roman"/>
            <w:sz w:val="20"/>
            <w:lang w:val="es-AR" w:eastAsia="es-ES_tradnl"/>
          </w:rPr>
          <w:tab/>
          <w:t>9</w:t>
        </w:r>
      </w:hyperlink>
    </w:p>
    <w:p w14:paraId="4CDEB7ED" w14:textId="77777777" w:rsidR="003B3957" w:rsidRPr="00AB7B88" w:rsidRDefault="001F2CE5" w:rsidP="00C460EC">
      <w:pPr>
        <w:pStyle w:val="TOC2"/>
        <w:rPr>
          <w:rFonts w:ascii="Times New Roman" w:hAnsi="Times New Roman"/>
        </w:rPr>
      </w:pPr>
      <w:hyperlink w:anchor="bookmark20" w:tooltip="Current Document" w:history="1">
        <w:r w:rsidR="003B3957" w:rsidRPr="00AB7B88">
          <w:rPr>
            <w:rStyle w:val="TOC1Char"/>
            <w:rFonts w:ascii="Times New Roman" w:hAnsi="Times New Roman"/>
            <w:sz w:val="20"/>
            <w:lang w:val="es-AR" w:eastAsia="es-ES_tradnl"/>
          </w:rPr>
          <w:t>Notificación</w:t>
        </w:r>
        <w:r w:rsidR="003B3957" w:rsidRPr="00AB7B88">
          <w:rPr>
            <w:rStyle w:val="TOC1Char"/>
            <w:rFonts w:ascii="Times New Roman" w:hAnsi="Times New Roman"/>
            <w:sz w:val="20"/>
            <w:lang w:eastAsia="es-ES_tradnl"/>
          </w:rPr>
          <w:t xml:space="preserve"> de disputa</w:t>
        </w:r>
        <w:r w:rsidR="003B3957" w:rsidRPr="00AB7B88">
          <w:rPr>
            <w:rStyle w:val="TOC1Char"/>
            <w:rFonts w:ascii="Times New Roman" w:hAnsi="Times New Roman"/>
            <w:sz w:val="20"/>
            <w:lang w:eastAsia="es-ES_tradnl"/>
          </w:rPr>
          <w:tab/>
          <w:t>9</w:t>
        </w:r>
      </w:hyperlink>
    </w:p>
    <w:p w14:paraId="1742D98A" w14:textId="77777777" w:rsidR="003B3957" w:rsidRPr="00AB7B88" w:rsidRDefault="001F2CE5" w:rsidP="00C460EC">
      <w:pPr>
        <w:pStyle w:val="TOC2"/>
        <w:rPr>
          <w:rFonts w:ascii="Times New Roman" w:hAnsi="Times New Roman"/>
          <w:lang w:val="es-AR"/>
        </w:rPr>
      </w:pPr>
      <w:hyperlink w:anchor="bookmark22" w:tooltip="Current Document" w:history="1">
        <w:r w:rsidR="003B3957" w:rsidRPr="00AB7B88">
          <w:rPr>
            <w:rStyle w:val="TOC1Char"/>
            <w:rFonts w:ascii="Times New Roman" w:eastAsia="Calibri" w:hAnsi="Times New Roman"/>
            <w:sz w:val="20"/>
            <w:lang w:val="es-AR" w:eastAsia="es-ES_tradnl"/>
          </w:rPr>
          <w:t>Inicio del arbitraje</w:t>
        </w:r>
        <w:r w:rsidR="003B3957" w:rsidRPr="00AB7B88">
          <w:rPr>
            <w:rStyle w:val="TOC1Char"/>
            <w:rFonts w:ascii="Times New Roman" w:eastAsia="Calibri" w:hAnsi="Times New Roman"/>
            <w:sz w:val="20"/>
            <w:lang w:val="es-AR" w:eastAsia="es-ES_tradnl"/>
          </w:rPr>
          <w:tab/>
          <w:t>10</w:t>
        </w:r>
      </w:hyperlink>
    </w:p>
    <w:p w14:paraId="7AA03FD2" w14:textId="77777777" w:rsidR="003B3957" w:rsidRPr="00AB7B88" w:rsidRDefault="001F2CE5" w:rsidP="00C460EC">
      <w:pPr>
        <w:pStyle w:val="TOC2"/>
        <w:rPr>
          <w:rFonts w:ascii="Times New Roman" w:hAnsi="Times New Roman"/>
          <w:lang w:val="es-AR"/>
        </w:rPr>
      </w:pPr>
      <w:hyperlink w:anchor="bookmark24" w:tooltip="Current Document" w:history="1">
        <w:r w:rsidR="003B3957" w:rsidRPr="00AB7B88">
          <w:rPr>
            <w:rStyle w:val="TOC1Char"/>
            <w:rFonts w:ascii="Times New Roman" w:eastAsia="Calibri" w:hAnsi="Times New Roman"/>
            <w:sz w:val="20"/>
            <w:lang w:val="es-AR" w:eastAsia="es-ES_tradnl"/>
          </w:rPr>
          <w:t>Constitución del Tribunal</w:t>
        </w:r>
        <w:r w:rsidR="003B3957" w:rsidRPr="00AB7B88">
          <w:rPr>
            <w:rStyle w:val="TOC1Char"/>
            <w:rFonts w:ascii="Times New Roman" w:eastAsia="Calibri" w:hAnsi="Times New Roman"/>
            <w:sz w:val="20"/>
            <w:lang w:val="es-AR" w:eastAsia="es-ES_tradnl"/>
          </w:rPr>
          <w:tab/>
          <w:t>10</w:t>
        </w:r>
      </w:hyperlink>
    </w:p>
    <w:p w14:paraId="70BD606F" w14:textId="77777777" w:rsidR="003B3957" w:rsidRPr="00AB7B88" w:rsidRDefault="001F2CE5" w:rsidP="00C460EC">
      <w:pPr>
        <w:pStyle w:val="TOC2"/>
        <w:rPr>
          <w:rFonts w:ascii="Times New Roman" w:hAnsi="Times New Roman"/>
          <w:lang w:val="es-AR"/>
        </w:rPr>
      </w:pPr>
      <w:hyperlink w:anchor="bookmark26" w:tooltip="Current Document" w:history="1">
        <w:r w:rsidR="003B3957" w:rsidRPr="00AB7B88">
          <w:rPr>
            <w:rStyle w:val="TOC1Char"/>
            <w:rFonts w:ascii="Times New Roman" w:eastAsia="Calibri" w:hAnsi="Times New Roman"/>
            <w:sz w:val="20"/>
            <w:lang w:val="es-AR" w:eastAsia="es-ES_tradnl"/>
          </w:rPr>
          <w:t>Aprobación del Acta de Constitución</w:t>
        </w:r>
        <w:r w:rsidR="003B3957" w:rsidRPr="00AB7B88">
          <w:rPr>
            <w:rStyle w:val="TOC1Char"/>
            <w:rFonts w:ascii="Times New Roman" w:eastAsia="Calibri" w:hAnsi="Times New Roman"/>
            <w:sz w:val="20"/>
            <w:lang w:val="es-AR" w:eastAsia="es-ES_tradnl"/>
          </w:rPr>
          <w:tab/>
          <w:t>10</w:t>
        </w:r>
      </w:hyperlink>
    </w:p>
    <w:p w14:paraId="2C2979FC" w14:textId="77777777" w:rsidR="003B3957" w:rsidRPr="00AB7B88" w:rsidRDefault="001F2CE5" w:rsidP="00C460EC">
      <w:pPr>
        <w:pStyle w:val="TOC2"/>
        <w:rPr>
          <w:rFonts w:ascii="Times New Roman" w:hAnsi="Times New Roman"/>
          <w:lang w:val="es-AR"/>
        </w:rPr>
      </w:pPr>
      <w:hyperlink w:anchor="bookmark27" w:tooltip="Current Document" w:history="1">
        <w:r w:rsidR="003B3957" w:rsidRPr="00AB7B88">
          <w:rPr>
            <w:rStyle w:val="TOC1Char"/>
            <w:rFonts w:ascii="Times New Roman" w:eastAsia="Calibri" w:hAnsi="Times New Roman"/>
            <w:sz w:val="20"/>
            <w:lang w:val="es-AR" w:eastAsia="es-ES_tradnl"/>
          </w:rPr>
          <w:t>Versión aplicable del Reglamento de arbitraje de la CNUDMI (Orden Procesal NO. 1)</w:t>
        </w:r>
        <w:r w:rsidR="003B3957" w:rsidRPr="00AB7B88">
          <w:rPr>
            <w:rStyle w:val="TOC1Char"/>
            <w:rFonts w:ascii="Times New Roman" w:eastAsia="Calibri" w:hAnsi="Times New Roman"/>
            <w:sz w:val="20"/>
            <w:lang w:val="es-AR" w:eastAsia="es-ES_tradnl"/>
          </w:rPr>
          <w:tab/>
          <w:t>10</w:t>
        </w:r>
      </w:hyperlink>
    </w:p>
    <w:p w14:paraId="4E399588" w14:textId="77777777" w:rsidR="003B3957" w:rsidRPr="00AB7B88" w:rsidRDefault="001F2CE5" w:rsidP="00C460EC">
      <w:pPr>
        <w:pStyle w:val="TOC2"/>
        <w:rPr>
          <w:rFonts w:ascii="Times New Roman" w:hAnsi="Times New Roman"/>
          <w:lang w:val="es-AR"/>
        </w:rPr>
      </w:pPr>
      <w:hyperlink w:anchor="bookmark29" w:tooltip="Current Document" w:history="1">
        <w:r w:rsidR="003B3957" w:rsidRPr="00AB7B88">
          <w:rPr>
            <w:rStyle w:val="TOC1Char"/>
            <w:rFonts w:ascii="Times New Roman" w:eastAsia="Calibri" w:hAnsi="Times New Roman"/>
            <w:sz w:val="20"/>
            <w:lang w:val="es-AR" w:eastAsia="es-ES_tradnl"/>
          </w:rPr>
          <w:t>Aprobación de las Reglas de procedimiento y el Calendario procesal (Orden Procesal No. 2)</w:t>
        </w:r>
        <w:r w:rsidR="003B3957" w:rsidRPr="00AB7B88">
          <w:rPr>
            <w:rStyle w:val="TOC1Char"/>
            <w:rFonts w:ascii="Times New Roman" w:eastAsia="Calibri" w:hAnsi="Times New Roman"/>
            <w:sz w:val="20"/>
            <w:lang w:val="es-AR" w:eastAsia="es-ES_tradnl"/>
          </w:rPr>
          <w:tab/>
          <w:t>11</w:t>
        </w:r>
      </w:hyperlink>
    </w:p>
    <w:p w14:paraId="122A6C35" w14:textId="77777777" w:rsidR="003B3957" w:rsidRPr="00AB7B88" w:rsidRDefault="001F2CE5" w:rsidP="00C460EC">
      <w:pPr>
        <w:pStyle w:val="TOC2"/>
        <w:rPr>
          <w:rFonts w:ascii="Times New Roman" w:hAnsi="Times New Roman"/>
          <w:lang w:val="es-AR"/>
        </w:rPr>
      </w:pPr>
      <w:hyperlink w:anchor="bookmark31" w:tooltip="Current Document" w:history="1">
        <w:r w:rsidR="003B3957" w:rsidRPr="00AB7B88">
          <w:rPr>
            <w:rStyle w:val="TOC1Char"/>
            <w:rFonts w:ascii="Times New Roman" w:eastAsia="Calibri" w:hAnsi="Times New Roman"/>
            <w:sz w:val="20"/>
            <w:lang w:val="es-AR" w:eastAsia="es-ES_tradnl"/>
          </w:rPr>
          <w:t>ORDEN DE ABSTENERSE DE DIVULGAR EL ESCRITO DE DEMANDA (ORDEN PROCESAL NO. 3)</w:t>
        </w:r>
        <w:r w:rsidR="003B3957" w:rsidRPr="00AB7B88">
          <w:rPr>
            <w:rStyle w:val="TOC1Char"/>
            <w:rFonts w:ascii="Times New Roman" w:eastAsia="Calibri" w:hAnsi="Times New Roman"/>
            <w:sz w:val="20"/>
            <w:lang w:val="es-AR" w:eastAsia="es-ES_tradnl"/>
          </w:rPr>
          <w:tab/>
          <w:t>11</w:t>
        </w:r>
      </w:hyperlink>
    </w:p>
    <w:p w14:paraId="0085F304" w14:textId="77777777" w:rsidR="003B3957" w:rsidRPr="00AB7B88" w:rsidRDefault="001F2CE5" w:rsidP="00C460EC">
      <w:pPr>
        <w:pStyle w:val="TOC2"/>
        <w:rPr>
          <w:rFonts w:ascii="Times New Roman" w:hAnsi="Times New Roman"/>
          <w:lang w:val="es-AR"/>
        </w:rPr>
      </w:pPr>
      <w:hyperlink w:anchor="bookmark33" w:tooltip="Current Document" w:history="1">
        <w:r w:rsidR="003B3957" w:rsidRPr="00AB7B88">
          <w:rPr>
            <w:rStyle w:val="TOC1Char"/>
            <w:rFonts w:ascii="Times New Roman" w:eastAsia="Calibri" w:hAnsi="Times New Roman"/>
            <w:sz w:val="20"/>
            <w:lang w:val="es-AR" w:eastAsia="es-ES_tradnl"/>
          </w:rPr>
          <w:t>Solicitudes de exhibición de documentos (Orden Procesal No. 4)</w:t>
        </w:r>
        <w:r w:rsidR="003B3957" w:rsidRPr="00AB7B88">
          <w:rPr>
            <w:rStyle w:val="TOC1Char"/>
            <w:rFonts w:ascii="Times New Roman" w:eastAsia="Calibri" w:hAnsi="Times New Roman"/>
            <w:sz w:val="20"/>
            <w:lang w:val="es-AR" w:eastAsia="es-ES_tradnl"/>
          </w:rPr>
          <w:tab/>
          <w:t>12</w:t>
        </w:r>
      </w:hyperlink>
    </w:p>
    <w:p w14:paraId="2DC8980D" w14:textId="77777777" w:rsidR="003B3957" w:rsidRPr="00AB7B88" w:rsidRDefault="001F2CE5" w:rsidP="00C460EC">
      <w:pPr>
        <w:pStyle w:val="TOC2"/>
        <w:rPr>
          <w:rFonts w:ascii="Times New Roman" w:hAnsi="Times New Roman"/>
        </w:rPr>
      </w:pPr>
      <w:hyperlink w:anchor="bookmark35" w:tooltip="Current Document" w:history="1">
        <w:r w:rsidR="003B3957" w:rsidRPr="00AB7B88">
          <w:rPr>
            <w:rStyle w:val="TOC1Char"/>
            <w:rFonts w:ascii="Times New Roman" w:eastAsia="Calibri" w:hAnsi="Times New Roman"/>
            <w:sz w:val="20"/>
            <w:lang w:eastAsia="es-ES_tradnl"/>
          </w:rPr>
          <w:t>Escritos</w:t>
        </w:r>
        <w:r w:rsidR="003B3957" w:rsidRPr="00AB7B88">
          <w:rPr>
            <w:rStyle w:val="TOC1Char"/>
            <w:rFonts w:ascii="Times New Roman" w:eastAsia="Calibri" w:hAnsi="Times New Roman"/>
            <w:sz w:val="20"/>
            <w:lang w:eastAsia="es-ES_tradnl"/>
          </w:rPr>
          <w:tab/>
          <w:t>12</w:t>
        </w:r>
      </w:hyperlink>
    </w:p>
    <w:p w14:paraId="037DFC06" w14:textId="77777777" w:rsidR="003B3957" w:rsidRPr="00AB7B88" w:rsidRDefault="001F2CE5" w:rsidP="00C460EC">
      <w:pPr>
        <w:pStyle w:val="TOC2"/>
        <w:rPr>
          <w:rFonts w:ascii="Times New Roman" w:hAnsi="Times New Roman"/>
        </w:rPr>
      </w:pPr>
      <w:hyperlink w:anchor="bookmark37" w:tooltip="Current Document" w:history="1">
        <w:r w:rsidR="003B3957" w:rsidRPr="00AB7B88">
          <w:rPr>
            <w:rStyle w:val="TOC1Char"/>
            <w:rFonts w:ascii="Times New Roman" w:eastAsia="Calibri" w:hAnsi="Times New Roman"/>
            <w:sz w:val="20"/>
            <w:lang w:eastAsia="es-ES_tradnl"/>
          </w:rPr>
          <w:t>La</w:t>
        </w:r>
        <w:r w:rsidR="003B3957" w:rsidRPr="00AB7B88">
          <w:rPr>
            <w:rStyle w:val="TOC1Char"/>
            <w:rFonts w:ascii="Times New Roman" w:eastAsia="Calibri" w:hAnsi="Times New Roman"/>
            <w:sz w:val="20"/>
            <w:lang w:val="es-VE" w:eastAsia="es-ES_tradnl"/>
          </w:rPr>
          <w:t xml:space="preserve"> Audiencia</w:t>
        </w:r>
        <w:r w:rsidR="003B3957" w:rsidRPr="00AB7B88">
          <w:rPr>
            <w:rStyle w:val="TOC1Char"/>
            <w:rFonts w:ascii="Times New Roman" w:eastAsia="Calibri" w:hAnsi="Times New Roman"/>
            <w:sz w:val="20"/>
            <w:lang w:eastAsia="es-ES_tradnl"/>
          </w:rPr>
          <w:tab/>
          <w:t>14</w:t>
        </w:r>
      </w:hyperlink>
    </w:p>
    <w:p w14:paraId="133A343B" w14:textId="77777777" w:rsidR="003B3957" w:rsidRPr="00AB7B88" w:rsidRDefault="001F2CE5" w:rsidP="00C460EC">
      <w:pPr>
        <w:pStyle w:val="TOC2"/>
        <w:rPr>
          <w:rFonts w:ascii="Times New Roman" w:hAnsi="Times New Roman"/>
        </w:rPr>
      </w:pPr>
      <w:hyperlink w:anchor="bookmark39" w:tooltip="Current Document" w:history="1">
        <w:r w:rsidR="003B3957" w:rsidRPr="00AB7B88">
          <w:rPr>
            <w:rStyle w:val="TOC1Char"/>
            <w:rFonts w:ascii="Times New Roman" w:eastAsia="Calibri" w:hAnsi="Times New Roman"/>
            <w:sz w:val="20"/>
            <w:lang w:val="es-AR" w:eastAsia="es-ES_tradnl"/>
          </w:rPr>
          <w:t>Procedimiento</w:t>
        </w:r>
        <w:r w:rsidR="003B3957" w:rsidRPr="00AB7B88">
          <w:rPr>
            <w:rStyle w:val="TOC1Char"/>
            <w:rFonts w:ascii="Times New Roman" w:eastAsia="Calibri" w:hAnsi="Times New Roman"/>
            <w:sz w:val="20"/>
            <w:lang w:eastAsia="es-ES_tradnl"/>
          </w:rPr>
          <w:t xml:space="preserve"> post-audiencia</w:t>
        </w:r>
        <w:r w:rsidR="003B3957" w:rsidRPr="00AB7B88">
          <w:rPr>
            <w:rStyle w:val="TOC1Char"/>
            <w:rFonts w:ascii="Times New Roman" w:eastAsia="Calibri" w:hAnsi="Times New Roman"/>
            <w:sz w:val="20"/>
            <w:lang w:eastAsia="es-ES_tradnl"/>
          </w:rPr>
          <w:tab/>
          <w:t>22</w:t>
        </w:r>
      </w:hyperlink>
    </w:p>
    <w:p w14:paraId="3AF2868D" w14:textId="77777777" w:rsidR="003B3957" w:rsidRPr="00AB7B88" w:rsidRDefault="001F2CE5" w:rsidP="00C460EC">
      <w:pPr>
        <w:pStyle w:val="TOC2"/>
        <w:rPr>
          <w:rFonts w:ascii="Times New Roman" w:hAnsi="Times New Roman"/>
        </w:rPr>
      </w:pPr>
      <w:hyperlink w:anchor="bookmark41" w:tooltip="Current Document" w:history="1">
        <w:r w:rsidR="003B3957" w:rsidRPr="00AB7B88">
          <w:rPr>
            <w:rStyle w:val="TOC1Char"/>
            <w:rFonts w:ascii="Times New Roman" w:eastAsia="Calibri" w:hAnsi="Times New Roman"/>
            <w:sz w:val="20"/>
            <w:lang w:eastAsia="es-ES_tradnl"/>
          </w:rPr>
          <w:t>Cierre de las audiencias</w:t>
        </w:r>
        <w:r w:rsidR="003B3957" w:rsidRPr="00AB7B88">
          <w:rPr>
            <w:rStyle w:val="TOC1Char"/>
            <w:rFonts w:ascii="Times New Roman" w:eastAsia="Calibri" w:hAnsi="Times New Roman"/>
            <w:sz w:val="20"/>
            <w:lang w:eastAsia="es-ES_tradnl"/>
          </w:rPr>
          <w:tab/>
          <w:t>22</w:t>
        </w:r>
      </w:hyperlink>
    </w:p>
    <w:p w14:paraId="05209985" w14:textId="77777777" w:rsidR="003B3957" w:rsidRPr="00AB7B88" w:rsidRDefault="007E101D" w:rsidP="00C460EC">
      <w:pPr>
        <w:pStyle w:val="TOC2"/>
        <w:numPr>
          <w:ilvl w:val="0"/>
          <w:numId w:val="0"/>
        </w:numPr>
        <w:ind w:left="20"/>
        <w:rPr>
          <w:rFonts w:ascii="Times New Roman" w:hAnsi="Times New Roman"/>
          <w:lang w:val="es-AR"/>
        </w:rPr>
      </w:pPr>
      <w:r w:rsidRPr="00AB7B88">
        <w:rPr>
          <w:rFonts w:ascii="Times New Roman" w:hAnsi="Times New Roman"/>
          <w:lang w:val="es-AR"/>
        </w:rPr>
        <w:t xml:space="preserve">III. </w:t>
      </w:r>
      <w:hyperlink w:anchor="bookmark43" w:tooltip="Current Document" w:history="1">
        <w:r w:rsidR="003B3957" w:rsidRPr="00AB7B88">
          <w:rPr>
            <w:rStyle w:val="TOC1Char"/>
            <w:rFonts w:ascii="Times New Roman" w:eastAsia="Calibri" w:hAnsi="Times New Roman"/>
            <w:sz w:val="20"/>
            <w:lang w:val="es-AR" w:eastAsia="es-ES_tradnl"/>
          </w:rPr>
          <w:t>ANTECEDENTES DE HECHO</w:t>
        </w:r>
        <w:r w:rsidR="003B3957" w:rsidRPr="00AB7B88">
          <w:rPr>
            <w:rStyle w:val="TOC1Char"/>
            <w:rFonts w:ascii="Times New Roman" w:eastAsia="Calibri" w:hAnsi="Times New Roman"/>
            <w:sz w:val="20"/>
            <w:lang w:val="es-AR" w:eastAsia="es-ES_tradnl"/>
          </w:rPr>
          <w:tab/>
          <w:t>22</w:t>
        </w:r>
      </w:hyperlink>
    </w:p>
    <w:p w14:paraId="4EAE2748" w14:textId="77777777" w:rsidR="003B3957" w:rsidRPr="00AB7B88" w:rsidRDefault="001F2CE5" w:rsidP="000053F7">
      <w:pPr>
        <w:pStyle w:val="TOC2"/>
        <w:numPr>
          <w:ilvl w:val="0"/>
          <w:numId w:val="59"/>
        </w:numPr>
        <w:rPr>
          <w:rFonts w:ascii="Times New Roman" w:hAnsi="Times New Roman"/>
          <w:lang w:val="es-AR"/>
        </w:rPr>
      </w:pPr>
      <w:hyperlink w:anchor="bookmark45" w:tooltip="Current Document" w:history="1">
        <w:r w:rsidR="003B3957" w:rsidRPr="00AB7B88">
          <w:rPr>
            <w:rStyle w:val="TOC1Char"/>
            <w:rFonts w:ascii="Times New Roman" w:eastAsia="Calibri" w:hAnsi="Times New Roman"/>
            <w:sz w:val="20"/>
            <w:lang w:val="es-AR" w:eastAsia="es-ES_tradnl"/>
          </w:rPr>
          <w:t>El Proyecto Valentines</w:t>
        </w:r>
        <w:r w:rsidR="003B3957" w:rsidRPr="00AB7B88">
          <w:rPr>
            <w:rStyle w:val="TOC1Char"/>
            <w:rFonts w:ascii="Times New Roman" w:eastAsia="Calibri" w:hAnsi="Times New Roman"/>
            <w:sz w:val="20"/>
            <w:lang w:val="es-AR" w:eastAsia="es-ES_tradnl"/>
          </w:rPr>
          <w:tab/>
          <w:t>23</w:t>
        </w:r>
      </w:hyperlink>
    </w:p>
    <w:p w14:paraId="0A25D631" w14:textId="77777777" w:rsidR="003B3957" w:rsidRPr="00AB7B88" w:rsidRDefault="004B0776" w:rsidP="00ED6C8F">
      <w:pPr>
        <w:pStyle w:val="TOC2"/>
        <w:numPr>
          <w:ilvl w:val="0"/>
          <w:numId w:val="0"/>
        </w:numPr>
        <w:ind w:left="20"/>
        <w:rPr>
          <w:rFonts w:ascii="Times New Roman" w:hAnsi="Times New Roman"/>
          <w:lang w:val="es-AR"/>
        </w:rPr>
      </w:pPr>
      <w:r w:rsidRPr="00AB7B88">
        <w:rPr>
          <w:rFonts w:ascii="Times New Roman" w:hAnsi="Times New Roman"/>
          <w:lang w:val="es-AR"/>
        </w:rPr>
        <w:t xml:space="preserve">1) </w:t>
      </w:r>
      <w:hyperlink w:anchor="bookmark47" w:tooltip="Current Document" w:history="1">
        <w:r w:rsidR="003B3957" w:rsidRPr="00AB7B88">
          <w:rPr>
            <w:rStyle w:val="TOC1Char"/>
            <w:rFonts w:ascii="Times New Roman" w:eastAsia="Calibri" w:hAnsi="Times New Roman"/>
            <w:sz w:val="20"/>
            <w:lang w:val="es-AR" w:eastAsia="es-ES_tradnl"/>
          </w:rPr>
          <w:t>El Proyecto</w:t>
        </w:r>
        <w:r w:rsidR="003B3957" w:rsidRPr="00AB7B88">
          <w:rPr>
            <w:rStyle w:val="TOC1Char"/>
            <w:rFonts w:ascii="Times New Roman" w:eastAsia="Calibri" w:hAnsi="Times New Roman"/>
            <w:sz w:val="20"/>
            <w:lang w:val="es-AR" w:eastAsia="es-ES_tradnl"/>
          </w:rPr>
          <w:tab/>
          <w:t>23</w:t>
        </w:r>
      </w:hyperlink>
    </w:p>
    <w:p w14:paraId="6896D1E4" w14:textId="77777777" w:rsidR="003B3957" w:rsidRPr="00AB7B88" w:rsidRDefault="004B0776" w:rsidP="00ED6C8F">
      <w:pPr>
        <w:pStyle w:val="TOC2"/>
        <w:numPr>
          <w:ilvl w:val="0"/>
          <w:numId w:val="0"/>
        </w:numPr>
        <w:ind w:left="380" w:hanging="360"/>
        <w:rPr>
          <w:rFonts w:ascii="Times New Roman" w:hAnsi="Times New Roman"/>
          <w:lang w:val="es-AR"/>
        </w:rPr>
      </w:pPr>
      <w:r w:rsidRPr="00AB7B88">
        <w:rPr>
          <w:rFonts w:ascii="Times New Roman" w:hAnsi="Times New Roman"/>
          <w:lang w:val="es-AR"/>
        </w:rPr>
        <w:t xml:space="preserve">2) </w:t>
      </w:r>
      <w:hyperlink w:anchor="bookmark49" w:tooltip="Current Document" w:history="1">
        <w:r w:rsidR="003B3957" w:rsidRPr="00AB7B88">
          <w:rPr>
            <w:rStyle w:val="TOC1Char"/>
            <w:rFonts w:ascii="Times New Roman" w:eastAsia="Calibri" w:hAnsi="Times New Roman"/>
            <w:sz w:val="20"/>
            <w:lang w:val="es-AR" w:eastAsia="es-ES_tradnl"/>
          </w:rPr>
          <w:t>Primeras consultas entre Minera Aratirí y el Gobierno de Uruguay</w:t>
        </w:r>
        <w:r w:rsidR="003B3957" w:rsidRPr="00AB7B88">
          <w:rPr>
            <w:rStyle w:val="TOC1Char"/>
            <w:rFonts w:ascii="Times New Roman" w:eastAsia="Calibri" w:hAnsi="Times New Roman"/>
            <w:sz w:val="20"/>
            <w:lang w:val="es-AR" w:eastAsia="es-ES_tradnl"/>
          </w:rPr>
          <w:tab/>
          <w:t>24</w:t>
        </w:r>
      </w:hyperlink>
    </w:p>
    <w:p w14:paraId="7CFF0B97" w14:textId="77777777" w:rsidR="003B3957" w:rsidRPr="00AB7B88" w:rsidRDefault="001F2CE5" w:rsidP="00C460EC">
      <w:pPr>
        <w:pStyle w:val="TOC2"/>
        <w:rPr>
          <w:rFonts w:ascii="Times New Roman" w:hAnsi="Times New Roman"/>
          <w:lang w:val="es-AR"/>
        </w:rPr>
      </w:pPr>
      <w:hyperlink w:anchor="bookmark51" w:tooltip="Current Document" w:history="1">
        <w:r w:rsidR="003B3957" w:rsidRPr="00AB7B88">
          <w:rPr>
            <w:rStyle w:val="TOC1Char"/>
            <w:rFonts w:ascii="Times New Roman" w:eastAsia="Calibri" w:hAnsi="Times New Roman"/>
            <w:sz w:val="20"/>
            <w:lang w:val="es-AR" w:eastAsia="es-ES_tradnl"/>
          </w:rPr>
          <w:t>Solicitudes para una concesión de explotación, beneficios fiscales, concesión del álvelo y autorización ambiental</w:t>
        </w:r>
        <w:r w:rsidR="003B3957" w:rsidRPr="00AB7B88">
          <w:rPr>
            <w:rStyle w:val="TOC1Char"/>
            <w:rFonts w:ascii="Times New Roman" w:eastAsia="Calibri" w:hAnsi="Times New Roman"/>
            <w:sz w:val="20"/>
            <w:lang w:val="es-AR" w:eastAsia="es-ES_tradnl"/>
          </w:rPr>
          <w:tab/>
          <w:t>25</w:t>
        </w:r>
      </w:hyperlink>
    </w:p>
    <w:p w14:paraId="5F6C920B" w14:textId="77777777" w:rsidR="003B3957" w:rsidRPr="00AB7B88" w:rsidRDefault="00046535" w:rsidP="0006430D">
      <w:pPr>
        <w:pStyle w:val="TOC2"/>
        <w:numPr>
          <w:ilvl w:val="0"/>
          <w:numId w:val="0"/>
        </w:numPr>
        <w:ind w:left="20"/>
        <w:rPr>
          <w:rFonts w:ascii="Times New Roman" w:hAnsi="Times New Roman"/>
          <w:lang w:val="es-AR"/>
        </w:rPr>
      </w:pPr>
      <w:r w:rsidRPr="00AB7B88">
        <w:rPr>
          <w:rFonts w:ascii="Times New Roman" w:hAnsi="Times New Roman"/>
          <w:lang w:val="es-AR"/>
        </w:rPr>
        <w:t xml:space="preserve">1) </w:t>
      </w:r>
      <w:hyperlink w:anchor="bookmark53" w:tooltip="Current Document" w:history="1">
        <w:r w:rsidR="003B3957" w:rsidRPr="00AB7B88">
          <w:rPr>
            <w:rStyle w:val="TOC1Char"/>
            <w:rFonts w:ascii="Times New Roman" w:eastAsia="Calibri" w:hAnsi="Times New Roman"/>
            <w:sz w:val="20"/>
            <w:lang w:val="es-AR" w:eastAsia="es-ES_tradnl"/>
          </w:rPr>
          <w:t>Concesión para explotar</w:t>
        </w:r>
        <w:r w:rsidR="003B3957" w:rsidRPr="00AB7B88">
          <w:rPr>
            <w:rStyle w:val="TOC1Char"/>
            <w:rFonts w:ascii="Times New Roman" w:eastAsia="Calibri" w:hAnsi="Times New Roman"/>
            <w:sz w:val="20"/>
            <w:lang w:val="es-AR" w:eastAsia="es-ES_tradnl"/>
          </w:rPr>
          <w:tab/>
          <w:t>25</w:t>
        </w:r>
      </w:hyperlink>
    </w:p>
    <w:p w14:paraId="632BA94E" w14:textId="77777777" w:rsidR="003B3957" w:rsidRPr="00AB7B88" w:rsidRDefault="00046535" w:rsidP="0072680E">
      <w:pPr>
        <w:pStyle w:val="TOC2"/>
        <w:numPr>
          <w:ilvl w:val="0"/>
          <w:numId w:val="0"/>
        </w:numPr>
        <w:ind w:left="380" w:hanging="360"/>
        <w:rPr>
          <w:rFonts w:ascii="Times New Roman" w:hAnsi="Times New Roman"/>
          <w:lang w:val="es-AR"/>
        </w:rPr>
      </w:pPr>
      <w:r w:rsidRPr="00AB7B88">
        <w:rPr>
          <w:rFonts w:ascii="Times New Roman" w:hAnsi="Times New Roman"/>
          <w:lang w:val="es-AR"/>
        </w:rPr>
        <w:t xml:space="preserve">2) </w:t>
      </w:r>
      <w:hyperlink w:anchor="bookmark55" w:tooltip="Current Document" w:history="1">
        <w:r w:rsidR="003B3957" w:rsidRPr="00AB7B88">
          <w:rPr>
            <w:rStyle w:val="TOC1Char"/>
            <w:rFonts w:ascii="Times New Roman" w:eastAsia="Calibri" w:hAnsi="Times New Roman"/>
            <w:sz w:val="20"/>
            <w:lang w:val="es-AR" w:eastAsia="es-ES_tradnl"/>
          </w:rPr>
          <w:t>Beneficios fiscales</w:t>
        </w:r>
        <w:r w:rsidR="003B3957" w:rsidRPr="00AB7B88">
          <w:rPr>
            <w:rStyle w:val="TOC1Char"/>
            <w:rFonts w:ascii="Times New Roman" w:eastAsia="Calibri" w:hAnsi="Times New Roman"/>
            <w:sz w:val="20"/>
            <w:lang w:val="es-AR" w:eastAsia="es-ES_tradnl"/>
          </w:rPr>
          <w:tab/>
          <w:t>28</w:t>
        </w:r>
      </w:hyperlink>
    </w:p>
    <w:p w14:paraId="1D0AF21A" w14:textId="77777777" w:rsidR="003B3957" w:rsidRPr="00AB7B88" w:rsidRDefault="000C1F3E" w:rsidP="000C1F3E">
      <w:pPr>
        <w:pStyle w:val="TOC2"/>
        <w:numPr>
          <w:ilvl w:val="0"/>
          <w:numId w:val="0"/>
        </w:numPr>
        <w:ind w:left="380" w:hanging="360"/>
        <w:rPr>
          <w:rFonts w:ascii="Times New Roman" w:hAnsi="Times New Roman"/>
          <w:lang w:val="es-AR"/>
        </w:rPr>
      </w:pPr>
      <w:r w:rsidRPr="00AB7B88">
        <w:rPr>
          <w:rFonts w:ascii="Times New Roman" w:hAnsi="Times New Roman"/>
          <w:lang w:val="es-AR"/>
        </w:rPr>
        <w:t xml:space="preserve">3) </w:t>
      </w:r>
      <w:hyperlink w:anchor="bookmark57" w:tooltip="Current Document" w:history="1">
        <w:r w:rsidR="003B3957" w:rsidRPr="00AB7B88">
          <w:rPr>
            <w:rStyle w:val="TOC1Char"/>
            <w:rFonts w:ascii="Times New Roman" w:eastAsia="Calibri" w:hAnsi="Times New Roman"/>
            <w:sz w:val="20"/>
            <w:lang w:val="es-AR" w:eastAsia="es-ES_tradnl"/>
          </w:rPr>
          <w:t>La Concesión del álveo</w:t>
        </w:r>
        <w:r w:rsidR="003B3957" w:rsidRPr="00AB7B88">
          <w:rPr>
            <w:rStyle w:val="TOC1Char"/>
            <w:rFonts w:ascii="Times New Roman" w:eastAsia="Calibri" w:hAnsi="Times New Roman"/>
            <w:sz w:val="20"/>
            <w:lang w:val="es-AR" w:eastAsia="es-ES_tradnl"/>
          </w:rPr>
          <w:tab/>
          <w:t>29</w:t>
        </w:r>
      </w:hyperlink>
    </w:p>
    <w:p w14:paraId="47F67DFA" w14:textId="77777777" w:rsidR="003B3957" w:rsidRPr="00AB7B88" w:rsidRDefault="00046535" w:rsidP="000C1F3E">
      <w:pPr>
        <w:pStyle w:val="TOC2"/>
        <w:numPr>
          <w:ilvl w:val="0"/>
          <w:numId w:val="0"/>
        </w:numPr>
        <w:ind w:left="380" w:hanging="360"/>
        <w:rPr>
          <w:rFonts w:ascii="Times New Roman" w:hAnsi="Times New Roman"/>
          <w:lang w:val="es-AR"/>
        </w:rPr>
      </w:pPr>
      <w:r w:rsidRPr="00AB7B88">
        <w:rPr>
          <w:rFonts w:ascii="Times New Roman" w:hAnsi="Times New Roman"/>
          <w:lang w:val="es-AR"/>
        </w:rPr>
        <w:t xml:space="preserve">4) </w:t>
      </w:r>
      <w:hyperlink w:anchor="bookmark59" w:tooltip="Current Document" w:history="1">
        <w:r w:rsidR="003B3957" w:rsidRPr="00AB7B88">
          <w:rPr>
            <w:rStyle w:val="TOC1Char"/>
            <w:rFonts w:ascii="Times New Roman" w:eastAsia="Calibri" w:hAnsi="Times New Roman"/>
            <w:sz w:val="20"/>
            <w:lang w:val="es-AR" w:eastAsia="es-ES_tradnl"/>
          </w:rPr>
          <w:t>Autorización ambiental</w:t>
        </w:r>
        <w:r w:rsidR="003B3957" w:rsidRPr="00AB7B88">
          <w:rPr>
            <w:rStyle w:val="TOC1Char"/>
            <w:rFonts w:ascii="Times New Roman" w:eastAsia="Calibri" w:hAnsi="Times New Roman"/>
            <w:sz w:val="20"/>
            <w:lang w:val="es-AR" w:eastAsia="es-ES_tradnl"/>
          </w:rPr>
          <w:tab/>
          <w:t>30</w:t>
        </w:r>
      </w:hyperlink>
    </w:p>
    <w:p w14:paraId="564BB1F1" w14:textId="77777777" w:rsidR="003B3957" w:rsidRPr="00AB7B88" w:rsidRDefault="00282457" w:rsidP="00282457">
      <w:pPr>
        <w:pStyle w:val="TOC2"/>
        <w:numPr>
          <w:ilvl w:val="0"/>
          <w:numId w:val="0"/>
        </w:numPr>
        <w:ind w:left="380" w:hanging="360"/>
        <w:rPr>
          <w:rFonts w:ascii="Times New Roman" w:hAnsi="Times New Roman"/>
          <w:lang w:val="es-AR"/>
        </w:rPr>
      </w:pPr>
      <w:r w:rsidRPr="00AB7B88">
        <w:rPr>
          <w:rFonts w:ascii="Times New Roman" w:hAnsi="Times New Roman"/>
          <w:lang w:val="es-AR"/>
        </w:rPr>
        <w:t xml:space="preserve">IV. </w:t>
      </w:r>
      <w:hyperlink w:anchor="bookmark61" w:tooltip="Current Document" w:history="1">
        <w:r w:rsidR="003B3957" w:rsidRPr="00AB7B88">
          <w:rPr>
            <w:rStyle w:val="TOC1Char"/>
            <w:rFonts w:ascii="Times New Roman" w:eastAsia="Calibri" w:hAnsi="Times New Roman"/>
            <w:sz w:val="20"/>
            <w:lang w:val="es-AR" w:eastAsia="es-ES_tradnl"/>
          </w:rPr>
          <w:t>LAS PETICIONES DE LAS PARTES</w:t>
        </w:r>
        <w:r w:rsidR="003B3957" w:rsidRPr="00AB7B88">
          <w:rPr>
            <w:rStyle w:val="TOC1Char"/>
            <w:rFonts w:ascii="Times New Roman" w:eastAsia="Calibri" w:hAnsi="Times New Roman"/>
            <w:sz w:val="20"/>
            <w:lang w:val="es-AR" w:eastAsia="es-ES_tradnl"/>
          </w:rPr>
          <w:tab/>
          <w:t>30</w:t>
        </w:r>
      </w:hyperlink>
    </w:p>
    <w:p w14:paraId="30F64763" w14:textId="77777777" w:rsidR="003B3957" w:rsidRPr="00AB7B88" w:rsidRDefault="001F2CE5" w:rsidP="000053F7">
      <w:pPr>
        <w:pStyle w:val="TOC2"/>
        <w:numPr>
          <w:ilvl w:val="0"/>
          <w:numId w:val="60"/>
        </w:numPr>
        <w:rPr>
          <w:rFonts w:ascii="Times New Roman" w:hAnsi="Times New Roman"/>
          <w:lang w:val="es-AR"/>
        </w:rPr>
      </w:pPr>
      <w:hyperlink w:anchor="bookmark63" w:tooltip="Current Document" w:history="1">
        <w:r w:rsidR="003B3957" w:rsidRPr="00AB7B88">
          <w:rPr>
            <w:rStyle w:val="TOC1Char"/>
            <w:rFonts w:ascii="Times New Roman" w:eastAsia="Calibri" w:hAnsi="Times New Roman"/>
            <w:sz w:val="20"/>
            <w:lang w:val="es-AR" w:eastAsia="es-ES_tradnl"/>
          </w:rPr>
          <w:t>Las Peticiones de los Demandantes</w:t>
        </w:r>
        <w:r w:rsidR="003B3957" w:rsidRPr="00AB7B88">
          <w:rPr>
            <w:rStyle w:val="TOC1Char"/>
            <w:rFonts w:ascii="Times New Roman" w:eastAsia="Calibri" w:hAnsi="Times New Roman"/>
            <w:sz w:val="20"/>
            <w:lang w:val="es-AR" w:eastAsia="es-ES_tradnl"/>
          </w:rPr>
          <w:tab/>
          <w:t>30</w:t>
        </w:r>
      </w:hyperlink>
    </w:p>
    <w:p w14:paraId="731D7CD3" w14:textId="77777777" w:rsidR="003B3957" w:rsidRPr="00AB7B88" w:rsidRDefault="001F2CE5" w:rsidP="00C460EC">
      <w:pPr>
        <w:pStyle w:val="TOC2"/>
        <w:rPr>
          <w:rFonts w:ascii="Times New Roman" w:hAnsi="Times New Roman"/>
          <w:lang w:val="es-AR"/>
        </w:rPr>
      </w:pPr>
      <w:hyperlink w:anchor="bookmark64" w:tooltip="Current Document" w:history="1">
        <w:r w:rsidR="003B3957" w:rsidRPr="00AB7B88">
          <w:rPr>
            <w:rStyle w:val="TOC1Char"/>
            <w:rFonts w:ascii="Times New Roman" w:eastAsia="Calibri" w:hAnsi="Times New Roman"/>
            <w:sz w:val="20"/>
            <w:lang w:val="es-AR" w:eastAsia="es-ES_tradnl"/>
          </w:rPr>
          <w:t>Las Peticiones de La Demandada</w:t>
        </w:r>
        <w:r w:rsidR="003B3957" w:rsidRPr="00AB7B88">
          <w:rPr>
            <w:rStyle w:val="TOC1Char"/>
            <w:rFonts w:ascii="Times New Roman" w:eastAsia="Calibri" w:hAnsi="Times New Roman"/>
            <w:sz w:val="20"/>
            <w:lang w:val="es-AR" w:eastAsia="es-ES_tradnl"/>
          </w:rPr>
          <w:tab/>
          <w:t>31</w:t>
        </w:r>
      </w:hyperlink>
    </w:p>
    <w:p w14:paraId="4D4A9F04" w14:textId="77777777" w:rsidR="003B3957" w:rsidRPr="00AB7B88" w:rsidRDefault="00494FB4" w:rsidP="0011374D">
      <w:pPr>
        <w:pStyle w:val="TOC1"/>
        <w:spacing w:line="360" w:lineRule="auto"/>
        <w:rPr>
          <w:rFonts w:ascii="Times New Roman" w:hAnsi="Times New Roman"/>
          <w:sz w:val="20"/>
          <w:lang w:val="es-AR"/>
        </w:rPr>
      </w:pPr>
      <w:r w:rsidRPr="00AB7B88">
        <w:rPr>
          <w:rFonts w:ascii="Times New Roman" w:hAnsi="Times New Roman"/>
          <w:sz w:val="20"/>
          <w:lang w:val="es-AR"/>
        </w:rPr>
        <w:t xml:space="preserve">V. </w:t>
      </w:r>
      <w:hyperlink w:anchor="bookmark66" w:tooltip="Current Document" w:history="1">
        <w:r w:rsidR="003B3957" w:rsidRPr="00AB7B88">
          <w:rPr>
            <w:rStyle w:val="TOC1Char"/>
            <w:rFonts w:ascii="Times New Roman" w:hAnsi="Times New Roman"/>
            <w:sz w:val="20"/>
            <w:lang w:val="es-AR" w:eastAsia="es-ES_tradnl"/>
          </w:rPr>
          <w:t>EL TBI</w:t>
        </w:r>
        <w:r w:rsidR="003B3957" w:rsidRPr="00AB7B88">
          <w:rPr>
            <w:rStyle w:val="TOC1Char"/>
            <w:rFonts w:ascii="Times New Roman" w:hAnsi="Times New Roman"/>
            <w:sz w:val="20"/>
            <w:lang w:val="es-AR" w:eastAsia="es-ES_tradnl"/>
          </w:rPr>
          <w:tab/>
          <w:t>33</w:t>
        </w:r>
      </w:hyperlink>
    </w:p>
    <w:p w14:paraId="42C339BD" w14:textId="77777777" w:rsidR="003B3957" w:rsidRPr="00AB7B88" w:rsidRDefault="0059636D" w:rsidP="0011374D">
      <w:pPr>
        <w:pStyle w:val="TOC1"/>
        <w:spacing w:line="360" w:lineRule="auto"/>
        <w:rPr>
          <w:rFonts w:ascii="Times New Roman" w:hAnsi="Times New Roman"/>
          <w:sz w:val="20"/>
          <w:lang w:val="es-AR"/>
        </w:rPr>
      </w:pPr>
      <w:r w:rsidRPr="00AB7B88">
        <w:rPr>
          <w:rFonts w:ascii="Times New Roman" w:hAnsi="Times New Roman"/>
          <w:sz w:val="20"/>
          <w:lang w:val="es-AR"/>
        </w:rPr>
        <w:t xml:space="preserve">VI. </w:t>
      </w:r>
      <w:hyperlink w:anchor="bookmark68" w:tooltip="Current Document" w:history="1">
        <w:r w:rsidR="003B3957" w:rsidRPr="00AB7B88">
          <w:rPr>
            <w:rStyle w:val="TOC1Char"/>
            <w:rFonts w:ascii="Times New Roman" w:hAnsi="Times New Roman"/>
            <w:sz w:val="20"/>
            <w:lang w:val="es-AR" w:eastAsia="es-ES_tradnl"/>
          </w:rPr>
          <w:t>OBJECIONES A LA JURISDICCIÓN</w:t>
        </w:r>
        <w:r w:rsidR="003B3957" w:rsidRPr="00AB7B88">
          <w:rPr>
            <w:rStyle w:val="TOC1Char"/>
            <w:rFonts w:ascii="Times New Roman" w:hAnsi="Times New Roman"/>
            <w:sz w:val="20"/>
            <w:lang w:val="es-AR" w:eastAsia="es-ES_tradnl"/>
          </w:rPr>
          <w:tab/>
          <w:t>41</w:t>
        </w:r>
      </w:hyperlink>
    </w:p>
    <w:p w14:paraId="568AE6F8" w14:textId="77777777" w:rsidR="003B3957" w:rsidRPr="00AB7B88" w:rsidRDefault="001F2CE5" w:rsidP="000053F7">
      <w:pPr>
        <w:pStyle w:val="TOC2"/>
        <w:numPr>
          <w:ilvl w:val="0"/>
          <w:numId w:val="61"/>
        </w:numPr>
        <w:rPr>
          <w:rFonts w:ascii="Times New Roman" w:hAnsi="Times New Roman"/>
          <w:lang w:val="es-AR"/>
        </w:rPr>
      </w:pPr>
      <w:hyperlink w:anchor="bookmark69" w:tooltip="Current Document" w:history="1">
        <w:r w:rsidR="003B3957" w:rsidRPr="00AB7B88">
          <w:rPr>
            <w:rStyle w:val="TOC1Char"/>
            <w:rFonts w:ascii="Times New Roman" w:eastAsia="Calibri" w:hAnsi="Times New Roman"/>
            <w:sz w:val="20"/>
            <w:lang w:val="es-AR" w:eastAsia="es-ES_tradnl"/>
          </w:rPr>
          <w:t>El Trust P. Devi</w:t>
        </w:r>
        <w:r w:rsidR="003B3957" w:rsidRPr="00AB7B88">
          <w:rPr>
            <w:rStyle w:val="TOC1Char"/>
            <w:rFonts w:ascii="Times New Roman" w:eastAsia="Calibri" w:hAnsi="Times New Roman"/>
            <w:sz w:val="20"/>
            <w:lang w:val="es-AR" w:eastAsia="es-ES_tradnl"/>
          </w:rPr>
          <w:tab/>
          <w:t>41</w:t>
        </w:r>
      </w:hyperlink>
    </w:p>
    <w:p w14:paraId="29CB93BC" w14:textId="77777777" w:rsidR="003B3957" w:rsidRPr="00AB7B88" w:rsidRDefault="001F2CE5" w:rsidP="00C460EC">
      <w:pPr>
        <w:pStyle w:val="TOC2"/>
        <w:rPr>
          <w:rFonts w:ascii="Times New Roman" w:hAnsi="Times New Roman"/>
          <w:lang w:val="es-AR"/>
        </w:rPr>
      </w:pPr>
      <w:hyperlink w:anchor="bookmark72" w:tooltip="Current Document" w:history="1">
        <w:r w:rsidR="003B3957" w:rsidRPr="00AB7B88">
          <w:rPr>
            <w:rStyle w:val="TOC1Char"/>
            <w:rFonts w:ascii="Times New Roman" w:eastAsia="Calibri" w:hAnsi="Times New Roman"/>
            <w:sz w:val="20"/>
            <w:lang w:val="es-AR" w:eastAsia="es-ES_tradnl"/>
          </w:rPr>
          <w:t>Jurisdicción ratione temporis: los argumentos de las Partes</w:t>
        </w:r>
        <w:r w:rsidR="003B3957" w:rsidRPr="00AB7B88">
          <w:rPr>
            <w:rStyle w:val="TOC1Char"/>
            <w:rFonts w:ascii="Times New Roman" w:eastAsia="Calibri" w:hAnsi="Times New Roman"/>
            <w:sz w:val="20"/>
            <w:lang w:val="es-AR" w:eastAsia="es-ES_tradnl"/>
          </w:rPr>
          <w:tab/>
          <w:t>46</w:t>
        </w:r>
      </w:hyperlink>
    </w:p>
    <w:p w14:paraId="01EF4C65" w14:textId="77777777" w:rsidR="003B3957" w:rsidRPr="00AB7B88" w:rsidRDefault="002750F5" w:rsidP="002624EE">
      <w:pPr>
        <w:pStyle w:val="TOC2"/>
        <w:numPr>
          <w:ilvl w:val="0"/>
          <w:numId w:val="0"/>
        </w:numPr>
        <w:ind w:left="20"/>
        <w:rPr>
          <w:rFonts w:ascii="Times New Roman" w:hAnsi="Times New Roman"/>
          <w:lang w:val="es-AR"/>
        </w:rPr>
      </w:pPr>
      <w:r w:rsidRPr="00AB7B88">
        <w:rPr>
          <w:rFonts w:ascii="Times New Roman" w:hAnsi="Times New Roman"/>
          <w:lang w:val="es-AR"/>
        </w:rPr>
        <w:t xml:space="preserve">1) </w:t>
      </w:r>
      <w:hyperlink w:anchor="bookmark73" w:tooltip="Current Document" w:history="1">
        <w:r w:rsidR="003B3957" w:rsidRPr="00AB7B88">
          <w:rPr>
            <w:rStyle w:val="TOC1Char"/>
            <w:rFonts w:ascii="Times New Roman" w:eastAsia="Calibri" w:hAnsi="Times New Roman"/>
            <w:sz w:val="20"/>
            <w:lang w:val="es-AR" w:eastAsia="es-ES_tradnl"/>
          </w:rPr>
          <w:t>La postura de la Demandada</w:t>
        </w:r>
        <w:r w:rsidR="003B3957" w:rsidRPr="00AB7B88">
          <w:rPr>
            <w:rStyle w:val="TOC1Char"/>
            <w:rFonts w:ascii="Times New Roman" w:eastAsia="Calibri" w:hAnsi="Times New Roman"/>
            <w:sz w:val="20"/>
            <w:lang w:val="es-AR" w:eastAsia="es-ES_tradnl"/>
          </w:rPr>
          <w:tab/>
          <w:t>46</w:t>
        </w:r>
      </w:hyperlink>
    </w:p>
    <w:p w14:paraId="545281E7" w14:textId="77777777" w:rsidR="003B3957" w:rsidRPr="00AB7B88" w:rsidRDefault="002624EE" w:rsidP="002624EE">
      <w:pPr>
        <w:pStyle w:val="TOC2"/>
        <w:numPr>
          <w:ilvl w:val="0"/>
          <w:numId w:val="0"/>
        </w:numPr>
        <w:ind w:left="380" w:hanging="360"/>
        <w:rPr>
          <w:rFonts w:ascii="Times New Roman" w:hAnsi="Times New Roman"/>
          <w:lang w:val="es-AR"/>
        </w:rPr>
      </w:pPr>
      <w:r w:rsidRPr="00AB7B88">
        <w:rPr>
          <w:rFonts w:ascii="Times New Roman" w:hAnsi="Times New Roman"/>
          <w:lang w:val="es-AR"/>
        </w:rPr>
        <w:lastRenderedPageBreak/>
        <w:t xml:space="preserve">a) </w:t>
      </w:r>
      <w:hyperlink w:anchor="bookmark75" w:tooltip="Current Document" w:history="1">
        <w:r w:rsidR="003B3957" w:rsidRPr="00AB7B88">
          <w:rPr>
            <w:rStyle w:val="TOC1Char"/>
            <w:rFonts w:ascii="Times New Roman" w:eastAsia="Calibri" w:hAnsi="Times New Roman"/>
            <w:sz w:val="20"/>
            <w:lang w:val="es-AR" w:eastAsia="es-ES_tradnl"/>
          </w:rPr>
          <w:t>La relación jurídica entre los Demandantes y las "inversiones" en el momento del supuesto incumplimiento</w:t>
        </w:r>
        <w:r w:rsidR="003B3957" w:rsidRPr="00AB7B88">
          <w:rPr>
            <w:rStyle w:val="TOC1Char"/>
            <w:rFonts w:ascii="Times New Roman" w:eastAsia="Calibri" w:hAnsi="Times New Roman"/>
            <w:sz w:val="20"/>
            <w:lang w:val="es-AR" w:eastAsia="es-ES_tradnl"/>
          </w:rPr>
          <w:tab/>
          <w:t>46</w:t>
        </w:r>
      </w:hyperlink>
    </w:p>
    <w:p w14:paraId="7C4E5222" w14:textId="77777777" w:rsidR="003B3957" w:rsidRPr="00AB7B88" w:rsidRDefault="003A3537" w:rsidP="003A3537">
      <w:pPr>
        <w:pStyle w:val="TOC2"/>
        <w:numPr>
          <w:ilvl w:val="0"/>
          <w:numId w:val="0"/>
        </w:numPr>
        <w:ind w:left="380" w:hanging="360"/>
        <w:rPr>
          <w:rFonts w:ascii="Times New Roman" w:hAnsi="Times New Roman"/>
          <w:lang w:val="es-AR"/>
        </w:rPr>
      </w:pPr>
      <w:r w:rsidRPr="00AB7B88">
        <w:rPr>
          <w:rFonts w:ascii="Times New Roman" w:hAnsi="Times New Roman"/>
          <w:lang w:val="es-AR"/>
        </w:rPr>
        <w:t xml:space="preserve">b) </w:t>
      </w:r>
      <w:hyperlink w:anchor="bookmark77" w:tooltip="Current Document" w:history="1">
        <w:r w:rsidR="003B3957" w:rsidRPr="00AB7B88">
          <w:rPr>
            <w:rStyle w:val="TOC1Char"/>
            <w:rFonts w:ascii="Times New Roman" w:eastAsia="Calibri" w:hAnsi="Times New Roman"/>
            <w:sz w:val="20"/>
            <w:lang w:val="es-AR" w:eastAsia="es-ES_tradnl"/>
          </w:rPr>
          <w:t>La relación jurídica entre los Demandantes y las "inversiones" después del 1 de agosto de 2016</w:t>
        </w:r>
        <w:r w:rsidR="003B3957" w:rsidRPr="00AB7B88">
          <w:rPr>
            <w:rStyle w:val="TOC1Char"/>
            <w:rFonts w:ascii="Times New Roman" w:eastAsia="Calibri" w:hAnsi="Times New Roman"/>
            <w:sz w:val="20"/>
            <w:lang w:val="es-AR" w:eastAsia="es-ES_tradnl"/>
          </w:rPr>
          <w:tab/>
          <w:t>49</w:t>
        </w:r>
      </w:hyperlink>
    </w:p>
    <w:p w14:paraId="63B1E3AD" w14:textId="77777777" w:rsidR="003B3957" w:rsidRPr="00AB7B88" w:rsidRDefault="006E7278" w:rsidP="006E7278">
      <w:pPr>
        <w:pStyle w:val="TOC2"/>
        <w:numPr>
          <w:ilvl w:val="0"/>
          <w:numId w:val="0"/>
        </w:numPr>
        <w:ind w:left="380" w:hanging="360"/>
        <w:rPr>
          <w:rFonts w:ascii="Times New Roman" w:hAnsi="Times New Roman"/>
          <w:lang w:val="es-AR"/>
        </w:rPr>
      </w:pPr>
      <w:r w:rsidRPr="00AB7B88">
        <w:rPr>
          <w:rFonts w:ascii="Times New Roman" w:hAnsi="Times New Roman"/>
          <w:lang w:val="es-AR"/>
        </w:rPr>
        <w:t xml:space="preserve">c) </w:t>
      </w:r>
      <w:hyperlink w:anchor="bookmark78" w:tooltip="Current Document" w:history="1">
        <w:r w:rsidR="003B3957" w:rsidRPr="00AB7B88">
          <w:rPr>
            <w:rStyle w:val="TOC1Char"/>
            <w:rFonts w:ascii="Times New Roman" w:eastAsia="Calibri" w:hAnsi="Times New Roman"/>
            <w:sz w:val="20"/>
            <w:lang w:val="es-AR" w:eastAsia="es-ES_tradnl"/>
          </w:rPr>
          <w:t>Aplicabilidad de la doctrina del incumplimiento continuo</w:t>
        </w:r>
        <w:r w:rsidR="003B3957" w:rsidRPr="00AB7B88">
          <w:rPr>
            <w:rStyle w:val="TOC1Char"/>
            <w:rFonts w:ascii="Times New Roman" w:eastAsia="Calibri" w:hAnsi="Times New Roman"/>
            <w:sz w:val="20"/>
            <w:lang w:val="es-AR" w:eastAsia="es-ES_tradnl"/>
          </w:rPr>
          <w:tab/>
          <w:t>50</w:t>
        </w:r>
      </w:hyperlink>
    </w:p>
    <w:p w14:paraId="3A785178" w14:textId="77777777" w:rsidR="003B3957" w:rsidRPr="00AB7B88" w:rsidRDefault="002E3E2E" w:rsidP="00984B77">
      <w:pPr>
        <w:pStyle w:val="TOC2"/>
        <w:numPr>
          <w:ilvl w:val="0"/>
          <w:numId w:val="0"/>
        </w:numPr>
        <w:ind w:left="380" w:hanging="360"/>
        <w:rPr>
          <w:rFonts w:ascii="Times New Roman" w:hAnsi="Times New Roman"/>
          <w:lang w:val="es-AR"/>
        </w:rPr>
      </w:pPr>
      <w:r w:rsidRPr="00AB7B88">
        <w:rPr>
          <w:rFonts w:ascii="Times New Roman" w:hAnsi="Times New Roman"/>
          <w:lang w:val="es-AR"/>
        </w:rPr>
        <w:t xml:space="preserve">2) </w:t>
      </w:r>
      <w:hyperlink w:anchor="bookmark80" w:tooltip="Current Document" w:history="1">
        <w:r w:rsidR="003B3957" w:rsidRPr="00AB7B88">
          <w:rPr>
            <w:rStyle w:val="TOC1Char"/>
            <w:rFonts w:ascii="Times New Roman" w:eastAsia="Calibri" w:hAnsi="Times New Roman"/>
            <w:sz w:val="20"/>
            <w:lang w:val="es-AR" w:eastAsia="es-ES_tradnl"/>
          </w:rPr>
          <w:t>La postura de los Demandantes</w:t>
        </w:r>
        <w:r w:rsidR="003B3957" w:rsidRPr="00AB7B88">
          <w:rPr>
            <w:rStyle w:val="TOC1Char"/>
            <w:rFonts w:ascii="Times New Roman" w:eastAsia="Calibri" w:hAnsi="Times New Roman"/>
            <w:sz w:val="20"/>
            <w:lang w:val="es-AR" w:eastAsia="es-ES_tradnl"/>
          </w:rPr>
          <w:tab/>
          <w:t>51</w:t>
        </w:r>
      </w:hyperlink>
    </w:p>
    <w:p w14:paraId="34DA3878" w14:textId="77777777" w:rsidR="003B3957" w:rsidRPr="00AB7B88" w:rsidRDefault="00B04370" w:rsidP="00B04370">
      <w:pPr>
        <w:pStyle w:val="TOC2"/>
        <w:numPr>
          <w:ilvl w:val="0"/>
          <w:numId w:val="0"/>
        </w:numPr>
        <w:ind w:left="380" w:hanging="360"/>
        <w:rPr>
          <w:rFonts w:ascii="Times New Roman" w:hAnsi="Times New Roman"/>
          <w:lang w:val="es-AR"/>
        </w:rPr>
      </w:pPr>
      <w:r w:rsidRPr="00AB7B88">
        <w:rPr>
          <w:rFonts w:ascii="Times New Roman" w:hAnsi="Times New Roman"/>
          <w:lang w:val="es-AR"/>
        </w:rPr>
        <w:t xml:space="preserve">a) </w:t>
      </w:r>
      <w:hyperlink w:anchor="bookmark82" w:tooltip="Current Document" w:history="1">
        <w:r w:rsidR="003B3957" w:rsidRPr="00AB7B88">
          <w:rPr>
            <w:rStyle w:val="TOC1Char"/>
            <w:rFonts w:ascii="Times New Roman" w:eastAsia="Calibri" w:hAnsi="Times New Roman"/>
            <w:sz w:val="20"/>
            <w:lang w:val="es-AR" w:eastAsia="es-ES_tradnl"/>
          </w:rPr>
          <w:t>El derecho a procurar protección del TBI como beneficial owner</w:t>
        </w:r>
        <w:r w:rsidR="003B3957" w:rsidRPr="00AB7B88">
          <w:rPr>
            <w:rStyle w:val="TOC1Char"/>
            <w:rFonts w:ascii="Times New Roman" w:eastAsia="Calibri" w:hAnsi="Times New Roman"/>
            <w:sz w:val="20"/>
            <w:lang w:val="es-AR" w:eastAsia="es-ES_tradnl"/>
          </w:rPr>
          <w:tab/>
          <w:t>51</w:t>
        </w:r>
      </w:hyperlink>
    </w:p>
    <w:p w14:paraId="32B51F33" w14:textId="77777777" w:rsidR="003B3957" w:rsidRPr="00AB7B88" w:rsidRDefault="00B04370" w:rsidP="00B04370">
      <w:pPr>
        <w:pStyle w:val="TOC2"/>
        <w:numPr>
          <w:ilvl w:val="0"/>
          <w:numId w:val="0"/>
        </w:numPr>
        <w:ind w:left="380" w:hanging="360"/>
        <w:rPr>
          <w:rFonts w:ascii="Times New Roman" w:hAnsi="Times New Roman"/>
          <w:lang w:val="es-AR"/>
        </w:rPr>
      </w:pPr>
      <w:r w:rsidRPr="00AB7B88">
        <w:rPr>
          <w:rFonts w:ascii="Times New Roman" w:hAnsi="Times New Roman"/>
          <w:lang w:val="es-AR"/>
        </w:rPr>
        <w:t xml:space="preserve">b) </w:t>
      </w:r>
      <w:hyperlink w:anchor="bookmark84" w:tooltip="Current Document" w:history="1">
        <w:r w:rsidR="003B3957" w:rsidRPr="00AB7B88">
          <w:rPr>
            <w:rStyle w:val="TOC1Char"/>
            <w:rFonts w:ascii="Times New Roman" w:eastAsia="Calibri" w:hAnsi="Times New Roman"/>
            <w:sz w:val="20"/>
            <w:lang w:val="es-AR" w:eastAsia="es-ES_tradnl"/>
          </w:rPr>
          <w:t>La relación jurídica entre los Demandantes y los bienes del Trust</w:t>
        </w:r>
        <w:r w:rsidR="003B3957" w:rsidRPr="00AB7B88">
          <w:rPr>
            <w:rStyle w:val="TOC1Char"/>
            <w:rFonts w:ascii="Times New Roman" w:eastAsia="Calibri" w:hAnsi="Times New Roman"/>
            <w:sz w:val="20"/>
            <w:lang w:val="es-AR" w:eastAsia="es-ES_tradnl"/>
          </w:rPr>
          <w:tab/>
          <w:t>54</w:t>
        </w:r>
      </w:hyperlink>
    </w:p>
    <w:p w14:paraId="697AA591" w14:textId="77777777" w:rsidR="003B3957" w:rsidRPr="00AB7B88" w:rsidRDefault="00DC5A64" w:rsidP="00DC5A64">
      <w:pPr>
        <w:pStyle w:val="TOC2"/>
        <w:numPr>
          <w:ilvl w:val="0"/>
          <w:numId w:val="0"/>
        </w:numPr>
        <w:ind w:left="380" w:hanging="360"/>
        <w:rPr>
          <w:rFonts w:ascii="Times New Roman" w:hAnsi="Times New Roman"/>
          <w:lang w:val="es-AR"/>
        </w:rPr>
      </w:pPr>
      <w:r w:rsidRPr="00AB7B88">
        <w:rPr>
          <w:rFonts w:ascii="Times New Roman" w:hAnsi="Times New Roman"/>
          <w:lang w:val="es-AR"/>
        </w:rPr>
        <w:t xml:space="preserve">c) </w:t>
      </w:r>
      <w:hyperlink w:anchor="bookmark86" w:tooltip="Current Document" w:history="1">
        <w:r w:rsidR="003B3957" w:rsidRPr="00AB7B88">
          <w:rPr>
            <w:rStyle w:val="TOC1Char"/>
            <w:rFonts w:ascii="Times New Roman" w:eastAsia="Calibri" w:hAnsi="Times New Roman"/>
            <w:sz w:val="20"/>
            <w:lang w:val="es-AR" w:eastAsia="es-ES_tradnl"/>
          </w:rPr>
          <w:t>Jurisdicción ratione temporis según la Doctrina del "hecho continuo"</w:t>
        </w:r>
        <w:r w:rsidR="003B3957" w:rsidRPr="00AB7B88">
          <w:rPr>
            <w:rStyle w:val="TOC1Char"/>
            <w:rFonts w:ascii="Times New Roman" w:eastAsia="Calibri" w:hAnsi="Times New Roman"/>
            <w:sz w:val="20"/>
            <w:lang w:val="es-AR" w:eastAsia="es-ES_tradnl"/>
          </w:rPr>
          <w:tab/>
          <w:t>57</w:t>
        </w:r>
      </w:hyperlink>
    </w:p>
    <w:p w14:paraId="212E94CD" w14:textId="77777777" w:rsidR="003B3957" w:rsidRPr="00AB7B88" w:rsidRDefault="001F2CE5" w:rsidP="00C460EC">
      <w:pPr>
        <w:pStyle w:val="TOC2"/>
        <w:rPr>
          <w:rFonts w:ascii="Times New Roman" w:hAnsi="Times New Roman"/>
          <w:lang w:val="es-AR"/>
        </w:rPr>
      </w:pPr>
      <w:hyperlink w:anchor="bookmark88" w:tooltip="Current Document" w:history="1">
        <w:r w:rsidR="003B3957" w:rsidRPr="00AB7B88">
          <w:rPr>
            <w:rStyle w:val="TOC1Char"/>
            <w:rFonts w:ascii="Times New Roman" w:eastAsia="Calibri" w:hAnsi="Times New Roman"/>
            <w:sz w:val="20"/>
            <w:lang w:val="es-AR" w:eastAsia="es-ES_tradnl"/>
          </w:rPr>
          <w:t>Jurisdicción ratione temporis: el análisis del Tribunal</w:t>
        </w:r>
        <w:r w:rsidR="003B3957" w:rsidRPr="00AB7B88">
          <w:rPr>
            <w:rStyle w:val="TOC1Char"/>
            <w:rFonts w:ascii="Times New Roman" w:eastAsia="Calibri" w:hAnsi="Times New Roman"/>
            <w:sz w:val="20"/>
            <w:lang w:val="es-AR" w:eastAsia="es-ES_tradnl"/>
          </w:rPr>
          <w:tab/>
          <w:t>59</w:t>
        </w:r>
      </w:hyperlink>
    </w:p>
    <w:p w14:paraId="130F503F" w14:textId="77777777" w:rsidR="003B3957" w:rsidRPr="00AB7B88" w:rsidRDefault="00DB4BF5" w:rsidP="00DB4BF5">
      <w:pPr>
        <w:pStyle w:val="TOC2"/>
        <w:numPr>
          <w:ilvl w:val="0"/>
          <w:numId w:val="0"/>
        </w:numPr>
        <w:ind w:left="20"/>
        <w:rPr>
          <w:rFonts w:ascii="Times New Roman" w:hAnsi="Times New Roman"/>
          <w:lang w:val="es-AR"/>
        </w:rPr>
      </w:pPr>
      <w:r w:rsidRPr="00AB7B88">
        <w:rPr>
          <w:rFonts w:ascii="Times New Roman" w:hAnsi="Times New Roman"/>
          <w:lang w:val="es-AR"/>
        </w:rPr>
        <w:t xml:space="preserve">1) </w:t>
      </w:r>
      <w:hyperlink w:anchor="bookmark90" w:tooltip="Current Document" w:history="1">
        <w:r w:rsidR="003B3957" w:rsidRPr="00AB7B88">
          <w:rPr>
            <w:rStyle w:val="TOC1Char"/>
            <w:rFonts w:ascii="Times New Roman" w:eastAsia="Calibri" w:hAnsi="Times New Roman"/>
            <w:sz w:val="20"/>
            <w:lang w:val="es-AR" w:eastAsia="es-ES_tradnl"/>
          </w:rPr>
          <w:t>Derecho aplicable</w:t>
        </w:r>
        <w:r w:rsidR="003B3957" w:rsidRPr="00AB7B88">
          <w:rPr>
            <w:rStyle w:val="TOC1Char"/>
            <w:rFonts w:ascii="Times New Roman" w:eastAsia="Calibri" w:hAnsi="Times New Roman"/>
            <w:sz w:val="20"/>
            <w:lang w:val="es-AR" w:eastAsia="es-ES_tradnl"/>
          </w:rPr>
          <w:tab/>
          <w:t>59</w:t>
        </w:r>
      </w:hyperlink>
    </w:p>
    <w:p w14:paraId="4D863736" w14:textId="77777777" w:rsidR="003B3957" w:rsidRPr="00AB7B88" w:rsidRDefault="00333A69" w:rsidP="00333A69">
      <w:pPr>
        <w:pStyle w:val="TOC2"/>
        <w:numPr>
          <w:ilvl w:val="0"/>
          <w:numId w:val="0"/>
        </w:numPr>
        <w:ind w:left="380" w:hanging="360"/>
        <w:rPr>
          <w:rFonts w:ascii="Times New Roman" w:hAnsi="Times New Roman"/>
          <w:lang w:val="es-AR"/>
        </w:rPr>
      </w:pPr>
      <w:r w:rsidRPr="00AB7B88">
        <w:rPr>
          <w:rFonts w:ascii="Times New Roman" w:hAnsi="Times New Roman"/>
          <w:lang w:val="es-AR"/>
        </w:rPr>
        <w:t xml:space="preserve">2) </w:t>
      </w:r>
      <w:hyperlink w:anchor="bookmark92" w:tooltip="Current Document" w:history="1">
        <w:r w:rsidR="003B3957" w:rsidRPr="00AB7B88">
          <w:rPr>
            <w:rStyle w:val="TOC1Char"/>
            <w:rFonts w:ascii="Times New Roman" w:eastAsia="Calibri" w:hAnsi="Times New Roman"/>
            <w:sz w:val="20"/>
            <w:lang w:val="es-AR" w:eastAsia="es-ES_tradnl"/>
          </w:rPr>
          <w:t>Interpretación del artículo 1 a) del TBI</w:t>
        </w:r>
        <w:r w:rsidR="003B3957" w:rsidRPr="00AB7B88">
          <w:rPr>
            <w:rStyle w:val="TOC1Char"/>
            <w:rFonts w:ascii="Times New Roman" w:eastAsia="Calibri" w:hAnsi="Times New Roman"/>
            <w:sz w:val="20"/>
            <w:lang w:val="es-AR" w:eastAsia="es-ES_tradnl"/>
          </w:rPr>
          <w:tab/>
          <w:t>63</w:t>
        </w:r>
      </w:hyperlink>
    </w:p>
    <w:p w14:paraId="3100E08B" w14:textId="77777777" w:rsidR="003B3957" w:rsidRPr="00AB7B88" w:rsidRDefault="00D039B3" w:rsidP="00D039B3">
      <w:pPr>
        <w:pStyle w:val="TOC2"/>
        <w:numPr>
          <w:ilvl w:val="0"/>
          <w:numId w:val="0"/>
        </w:numPr>
        <w:ind w:left="380" w:hanging="360"/>
        <w:rPr>
          <w:rFonts w:ascii="Times New Roman" w:hAnsi="Times New Roman"/>
          <w:lang w:val="es-AR"/>
        </w:rPr>
      </w:pPr>
      <w:r w:rsidRPr="00AB7B88">
        <w:rPr>
          <w:rFonts w:ascii="Times New Roman" w:hAnsi="Times New Roman"/>
          <w:lang w:val="es-AR"/>
        </w:rPr>
        <w:t xml:space="preserve">3) </w:t>
      </w:r>
      <w:hyperlink w:anchor="bookmark94" w:tooltip="Current Document" w:history="1">
        <w:r w:rsidR="003B3957" w:rsidRPr="00AB7B88">
          <w:rPr>
            <w:rStyle w:val="TOC1Char"/>
            <w:rFonts w:ascii="Times New Roman" w:eastAsia="Calibri" w:hAnsi="Times New Roman"/>
            <w:sz w:val="20"/>
            <w:lang w:val="es-AR" w:eastAsia="es-ES_tradnl"/>
          </w:rPr>
          <w:t>Los derechos de los Demandantes en virtud de la ley de las Islas Caimán</w:t>
        </w:r>
        <w:r w:rsidR="003B3957" w:rsidRPr="00AB7B88">
          <w:rPr>
            <w:rStyle w:val="TOC1Char"/>
            <w:rFonts w:ascii="Times New Roman" w:eastAsia="Calibri" w:hAnsi="Times New Roman"/>
            <w:sz w:val="20"/>
            <w:lang w:val="es-AR" w:eastAsia="es-ES_tradnl"/>
          </w:rPr>
          <w:tab/>
          <w:t>64</w:t>
        </w:r>
      </w:hyperlink>
    </w:p>
    <w:p w14:paraId="09B30ABE" w14:textId="77777777" w:rsidR="003B3957" w:rsidRPr="00AB7B88" w:rsidRDefault="003557A6" w:rsidP="003557A6">
      <w:pPr>
        <w:pStyle w:val="TOC2"/>
        <w:numPr>
          <w:ilvl w:val="0"/>
          <w:numId w:val="0"/>
        </w:numPr>
        <w:ind w:left="380" w:hanging="360"/>
        <w:rPr>
          <w:rFonts w:ascii="Times New Roman" w:hAnsi="Times New Roman"/>
          <w:lang w:val="es-AR"/>
        </w:rPr>
      </w:pPr>
      <w:r w:rsidRPr="00AB7B88">
        <w:rPr>
          <w:rFonts w:ascii="Times New Roman" w:hAnsi="Times New Roman"/>
          <w:lang w:val="es-AR"/>
        </w:rPr>
        <w:t xml:space="preserve">4) </w:t>
      </w:r>
      <w:hyperlink w:anchor="bookmark95" w:tooltip="Current Document" w:history="1">
        <w:r w:rsidR="003B3957" w:rsidRPr="00AB7B88">
          <w:rPr>
            <w:rStyle w:val="TOC1Char"/>
            <w:rFonts w:ascii="Times New Roman" w:eastAsia="Calibri" w:hAnsi="Times New Roman"/>
            <w:sz w:val="20"/>
            <w:lang w:val="es-AR" w:eastAsia="es-ES_tradnl"/>
          </w:rPr>
          <w:t>¿Constituye el discretional beneficiary interest de los Demandantes un bien conforme al TBI?</w:t>
        </w:r>
        <w:r w:rsidR="003B3957" w:rsidRPr="00AB7B88">
          <w:rPr>
            <w:rStyle w:val="TOC1Char"/>
            <w:rFonts w:ascii="Times New Roman" w:eastAsia="Calibri" w:hAnsi="Times New Roman"/>
            <w:sz w:val="20"/>
            <w:lang w:val="es-AR" w:eastAsia="es-ES_tradnl"/>
          </w:rPr>
          <w:tab/>
          <w:t>68</w:t>
        </w:r>
      </w:hyperlink>
    </w:p>
    <w:p w14:paraId="34AFD11F" w14:textId="77777777" w:rsidR="003B3957" w:rsidRPr="00AB7B88" w:rsidRDefault="001F2CE5" w:rsidP="000053F7">
      <w:pPr>
        <w:pStyle w:val="TOC2"/>
        <w:numPr>
          <w:ilvl w:val="0"/>
          <w:numId w:val="62"/>
        </w:numPr>
        <w:rPr>
          <w:rFonts w:ascii="Times New Roman" w:hAnsi="Times New Roman"/>
          <w:lang w:val="es-AR"/>
        </w:rPr>
      </w:pPr>
      <w:hyperlink w:anchor="bookmark97" w:tooltip="Current Document" w:history="1">
        <w:r w:rsidR="003B3957" w:rsidRPr="00AB7B88">
          <w:rPr>
            <w:rStyle w:val="TOC1Char"/>
            <w:rFonts w:ascii="Times New Roman" w:eastAsia="Calibri" w:hAnsi="Times New Roman"/>
            <w:sz w:val="20"/>
            <w:lang w:val="es-AR" w:eastAsia="es-ES_tradnl"/>
          </w:rPr>
          <w:t>¿Es aplicable la doctrina del hecho continuo?</w:t>
        </w:r>
        <w:r w:rsidR="003B3957" w:rsidRPr="00AB7B88">
          <w:rPr>
            <w:rStyle w:val="TOC1Char"/>
            <w:rFonts w:ascii="Times New Roman" w:eastAsia="Calibri" w:hAnsi="Times New Roman"/>
            <w:sz w:val="20"/>
            <w:lang w:val="es-AR" w:eastAsia="es-ES_tradnl"/>
          </w:rPr>
          <w:tab/>
          <w:t>78</w:t>
        </w:r>
      </w:hyperlink>
    </w:p>
    <w:p w14:paraId="57F671A5" w14:textId="77777777" w:rsidR="003B3957" w:rsidRPr="00AB7B88" w:rsidRDefault="001F2CE5" w:rsidP="000053F7">
      <w:pPr>
        <w:pStyle w:val="TOC2"/>
        <w:numPr>
          <w:ilvl w:val="0"/>
          <w:numId w:val="63"/>
        </w:numPr>
        <w:rPr>
          <w:rFonts w:ascii="Times New Roman" w:hAnsi="Times New Roman"/>
          <w:lang w:val="es-AR"/>
        </w:rPr>
      </w:pPr>
      <w:hyperlink w:anchor="bookmark99" w:tooltip="Current Document" w:history="1">
        <w:r w:rsidR="003B3957" w:rsidRPr="00AB7B88">
          <w:rPr>
            <w:rStyle w:val="TOC1Char"/>
            <w:rFonts w:ascii="Times New Roman" w:eastAsia="Calibri" w:hAnsi="Times New Roman"/>
            <w:sz w:val="20"/>
            <w:lang w:val="es-AR" w:eastAsia="es-ES_tradnl"/>
          </w:rPr>
          <w:t>¿Cuándo surgió la controversia</w:t>
        </w:r>
        <w:r w:rsidR="003B3957" w:rsidRPr="00AB7B88">
          <w:rPr>
            <w:rStyle w:val="TOC1Char"/>
            <w:rFonts w:ascii="Times New Roman" w:eastAsia="Calibri" w:hAnsi="Times New Roman"/>
            <w:sz w:val="20"/>
            <w:lang w:val="es-AR" w:eastAsia="es-ES_tradnl"/>
          </w:rPr>
          <w:tab/>
          <w:t>78</w:t>
        </w:r>
      </w:hyperlink>
    </w:p>
    <w:p w14:paraId="2472A98D" w14:textId="77777777" w:rsidR="003B3957" w:rsidRPr="00AB7B88" w:rsidRDefault="001F2CE5" w:rsidP="000053F7">
      <w:pPr>
        <w:pStyle w:val="TOC2"/>
        <w:numPr>
          <w:ilvl w:val="0"/>
          <w:numId w:val="63"/>
        </w:numPr>
        <w:rPr>
          <w:rFonts w:ascii="Times New Roman" w:hAnsi="Times New Roman"/>
          <w:lang w:val="es-AR"/>
        </w:rPr>
      </w:pPr>
      <w:hyperlink w:anchor="bookmark101" w:tooltip="Current Document" w:history="1">
        <w:r w:rsidR="003B3957" w:rsidRPr="00AB7B88">
          <w:rPr>
            <w:rStyle w:val="TOC1Char"/>
            <w:rFonts w:ascii="Times New Roman" w:eastAsia="Calibri" w:hAnsi="Times New Roman"/>
            <w:sz w:val="20"/>
            <w:lang w:val="es-AR" w:eastAsia="es-ES_tradnl"/>
          </w:rPr>
          <w:t>¿Comprende el TBI controversias surgidas antes del otorgamiento de la Escritura de Modificación?</w:t>
        </w:r>
        <w:r w:rsidR="003B3957" w:rsidRPr="00AB7B88">
          <w:rPr>
            <w:rStyle w:val="TOC1Char"/>
            <w:rFonts w:ascii="Times New Roman" w:eastAsia="Calibri" w:hAnsi="Times New Roman"/>
            <w:sz w:val="20"/>
            <w:lang w:val="es-AR" w:eastAsia="es-ES_tradnl"/>
          </w:rPr>
          <w:tab/>
          <w:t>82</w:t>
        </w:r>
      </w:hyperlink>
    </w:p>
    <w:p w14:paraId="5DDF3B32" w14:textId="77777777" w:rsidR="003B3957" w:rsidRPr="00AB7B88" w:rsidRDefault="001F2CE5" w:rsidP="000053F7">
      <w:pPr>
        <w:pStyle w:val="TOC2"/>
        <w:numPr>
          <w:ilvl w:val="0"/>
          <w:numId w:val="63"/>
        </w:numPr>
        <w:rPr>
          <w:rFonts w:ascii="Times New Roman" w:hAnsi="Times New Roman"/>
          <w:lang w:val="es-AR"/>
        </w:rPr>
      </w:pPr>
      <w:hyperlink w:anchor="bookmark103" w:tooltip="Current Document" w:history="1">
        <w:r w:rsidR="003B3957" w:rsidRPr="00AB7B88">
          <w:rPr>
            <w:rStyle w:val="TOC1Char"/>
            <w:rFonts w:ascii="Times New Roman" w:eastAsia="Calibri" w:hAnsi="Times New Roman"/>
            <w:sz w:val="20"/>
            <w:lang w:val="es-AR" w:eastAsia="es-ES_tradnl"/>
          </w:rPr>
          <w:t>Incumplimiento del TBI debido a la doctrina del hecho continuo</w:t>
        </w:r>
        <w:r w:rsidR="003B3957" w:rsidRPr="00AB7B88">
          <w:rPr>
            <w:rStyle w:val="TOC1Char"/>
            <w:rFonts w:ascii="Times New Roman" w:eastAsia="Calibri" w:hAnsi="Times New Roman"/>
            <w:sz w:val="20"/>
            <w:lang w:val="es-AR" w:eastAsia="es-ES_tradnl"/>
          </w:rPr>
          <w:tab/>
          <w:t>83</w:t>
        </w:r>
      </w:hyperlink>
    </w:p>
    <w:p w14:paraId="57EED71D" w14:textId="77777777" w:rsidR="003B3957" w:rsidRPr="00AB7B88" w:rsidRDefault="001F2CE5" w:rsidP="000053F7">
      <w:pPr>
        <w:pStyle w:val="TOC2"/>
        <w:numPr>
          <w:ilvl w:val="0"/>
          <w:numId w:val="63"/>
        </w:numPr>
        <w:rPr>
          <w:rFonts w:ascii="Times New Roman" w:hAnsi="Times New Roman"/>
        </w:rPr>
      </w:pPr>
      <w:hyperlink w:anchor="bookmark105" w:tooltip="Current Document" w:history="1">
        <w:r w:rsidR="003B3957" w:rsidRPr="00AB7B88">
          <w:rPr>
            <w:rStyle w:val="TOC1Char"/>
            <w:rFonts w:ascii="Times New Roman" w:eastAsia="Calibri" w:hAnsi="Times New Roman"/>
            <w:sz w:val="20"/>
            <w:lang w:val="es-AR" w:eastAsia="es-ES_tradnl"/>
          </w:rPr>
          <w:t>¿Realizó la Demandada alguna acción que derivase en una controversia el 1 de agosto de 2016 o posteriormente?</w:t>
        </w:r>
        <w:r w:rsidR="003B3957" w:rsidRPr="00AB7B88">
          <w:rPr>
            <w:rStyle w:val="TOC1Char"/>
            <w:rFonts w:ascii="Times New Roman" w:eastAsia="Calibri" w:hAnsi="Times New Roman"/>
            <w:sz w:val="20"/>
            <w:lang w:val="es-AR" w:eastAsia="es-ES_tradnl"/>
          </w:rPr>
          <w:tab/>
        </w:r>
        <w:r w:rsidR="003B3957" w:rsidRPr="00AB7B88">
          <w:rPr>
            <w:rStyle w:val="TOC1Char"/>
            <w:rFonts w:ascii="Times New Roman" w:eastAsia="Calibri" w:hAnsi="Times New Roman"/>
            <w:sz w:val="20"/>
            <w:lang w:eastAsia="es-ES_tradnl"/>
          </w:rPr>
          <w:t>85</w:t>
        </w:r>
      </w:hyperlink>
    </w:p>
    <w:p w14:paraId="00BF473C" w14:textId="77777777" w:rsidR="003B3957" w:rsidRPr="00AB7B88" w:rsidRDefault="00C11F27" w:rsidP="0011374D">
      <w:pPr>
        <w:pStyle w:val="TOC1"/>
        <w:spacing w:line="360" w:lineRule="auto"/>
        <w:rPr>
          <w:rFonts w:ascii="Times New Roman" w:hAnsi="Times New Roman"/>
          <w:sz w:val="20"/>
          <w:lang w:val="es-AR"/>
        </w:rPr>
      </w:pPr>
      <w:r w:rsidRPr="00AB7B88">
        <w:rPr>
          <w:rFonts w:ascii="Times New Roman" w:hAnsi="Times New Roman"/>
          <w:sz w:val="20"/>
          <w:lang w:val="es-AR"/>
        </w:rPr>
        <w:t xml:space="preserve">VII. </w:t>
      </w:r>
      <w:hyperlink w:anchor="bookmark107" w:tooltip="Current Document" w:history="1">
        <w:r w:rsidR="003B3957" w:rsidRPr="00AB7B88">
          <w:rPr>
            <w:rStyle w:val="TOC1Char"/>
            <w:rFonts w:ascii="Times New Roman" w:hAnsi="Times New Roman"/>
            <w:sz w:val="20"/>
            <w:lang w:val="es-AR" w:eastAsia="es-ES_tradnl"/>
          </w:rPr>
          <w:t>COSTAS</w:t>
        </w:r>
        <w:r w:rsidR="003B3957" w:rsidRPr="00AB7B88">
          <w:rPr>
            <w:rStyle w:val="TOC1Char"/>
            <w:rFonts w:ascii="Times New Roman" w:hAnsi="Times New Roman"/>
            <w:sz w:val="20"/>
            <w:lang w:val="es-AR" w:eastAsia="es-ES_tradnl"/>
          </w:rPr>
          <w:tab/>
          <w:t>86</w:t>
        </w:r>
      </w:hyperlink>
    </w:p>
    <w:p w14:paraId="451C7827" w14:textId="77777777" w:rsidR="00052C8B" w:rsidRPr="00AB7B88" w:rsidRDefault="003B3957" w:rsidP="0011374D">
      <w:pPr>
        <w:pStyle w:val="TOC1"/>
        <w:spacing w:line="360" w:lineRule="auto"/>
        <w:rPr>
          <w:rFonts w:ascii="Times New Roman" w:hAnsi="Times New Roman"/>
          <w:sz w:val="20"/>
          <w:lang w:val="es-AR"/>
        </w:rPr>
      </w:pPr>
      <w:r w:rsidRPr="00AB7B88">
        <w:rPr>
          <w:rFonts w:ascii="Times New Roman" w:hAnsi="Times New Roman"/>
          <w:sz w:val="20"/>
          <w:lang w:val="es-AR"/>
        </w:rPr>
        <w:t xml:space="preserve">VIII. </w:t>
      </w:r>
      <w:hyperlink w:anchor="bookmark109" w:tooltip="Current Document" w:history="1">
        <w:r w:rsidRPr="00AB7B88">
          <w:rPr>
            <w:rStyle w:val="TOC1Char"/>
            <w:rFonts w:ascii="Times New Roman" w:hAnsi="Times New Roman"/>
            <w:sz w:val="20"/>
            <w:lang w:val="es-AR" w:eastAsia="es-ES_tradnl"/>
          </w:rPr>
          <w:t>DECISIÓN</w:t>
        </w:r>
        <w:r w:rsidRPr="00AB7B88">
          <w:rPr>
            <w:rStyle w:val="TOC1Char"/>
            <w:rFonts w:ascii="Times New Roman" w:hAnsi="Times New Roman"/>
            <w:sz w:val="20"/>
            <w:lang w:val="es-AR" w:eastAsia="es-ES_tradnl"/>
          </w:rPr>
          <w:tab/>
          <w:t>88</w:t>
        </w:r>
      </w:hyperlink>
    </w:p>
    <w:p w14:paraId="703A4237" w14:textId="77777777" w:rsidR="003B3957" w:rsidRPr="00AB7B88" w:rsidRDefault="003B3957" w:rsidP="004620E8">
      <w:pPr>
        <w:keepNext/>
        <w:keepLines/>
        <w:spacing w:before="4000" w:after="1116" w:line="360" w:lineRule="auto"/>
        <w:jc w:val="center"/>
        <w:rPr>
          <w:rFonts w:ascii="Times New Roman" w:hAnsi="Times New Roman"/>
          <w:lang w:val="es-AR"/>
        </w:rPr>
      </w:pPr>
      <w:bookmarkStart w:id="2" w:name="bookmark5"/>
      <w:r w:rsidRPr="00AB7B88">
        <w:rPr>
          <w:rStyle w:val="Heading1"/>
          <w:rFonts w:eastAsia="Calibri"/>
          <w:b/>
          <w:bCs/>
          <w:color w:val="000000"/>
          <w:sz w:val="20"/>
          <w:lang w:val="es-AR" w:eastAsia="es-ES_tradnl"/>
        </w:rPr>
        <w:t>Laudo</w:t>
      </w:r>
      <w:bookmarkEnd w:id="2"/>
    </w:p>
    <w:p w14:paraId="060B1951" w14:textId="77777777" w:rsidR="003B3957" w:rsidRPr="00AB7B88" w:rsidRDefault="003B3957" w:rsidP="0011374D">
      <w:pPr>
        <w:pStyle w:val="Bodytext30"/>
        <w:shd w:val="clear" w:color="auto" w:fill="auto"/>
        <w:spacing w:before="0" w:after="360" w:line="360" w:lineRule="auto"/>
        <w:jc w:val="left"/>
        <w:rPr>
          <w:rStyle w:val="Bodytext3"/>
          <w:b/>
          <w:bCs/>
          <w:color w:val="000000"/>
          <w:sz w:val="20"/>
          <w:lang w:val="es-AR" w:eastAsia="es-ES_tradnl"/>
        </w:rPr>
      </w:pPr>
      <w:bookmarkStart w:id="3" w:name="bookmark6"/>
      <w:bookmarkStart w:id="4" w:name="bookmark7"/>
      <w:bookmarkStart w:id="5" w:name="bookmark8"/>
      <w:r w:rsidRPr="00AB7B88">
        <w:rPr>
          <w:rStyle w:val="Bodytext3"/>
          <w:b/>
          <w:bCs/>
          <w:color w:val="000000"/>
          <w:sz w:val="20"/>
          <w:lang w:val="es-AR" w:eastAsia="es-ES_tradnl"/>
        </w:rPr>
        <w:t>TÉRMINOS DEFINIDOS</w:t>
      </w:r>
      <w:bookmarkEnd w:id="3"/>
      <w:bookmarkEnd w:id="4"/>
      <w:bookmarkEnd w:id="5"/>
    </w:p>
    <w:tbl>
      <w:tblPr>
        <w:tblStyle w:val="TableGrid"/>
        <w:tblW w:w="9676" w:type="dxa"/>
        <w:tblLook w:val="04A0" w:firstRow="1" w:lastRow="0" w:firstColumn="1" w:lastColumn="0" w:noHBand="0" w:noVBand="1"/>
      </w:tblPr>
      <w:tblGrid>
        <w:gridCol w:w="1668"/>
        <w:gridCol w:w="8008"/>
      </w:tblGrid>
      <w:tr w:rsidR="003B3957" w:rsidRPr="001F2CE5" w14:paraId="5A7C6304" w14:textId="77777777" w:rsidTr="000B2B5D">
        <w:tc>
          <w:tcPr>
            <w:tcW w:w="1668" w:type="dxa"/>
          </w:tcPr>
          <w:p w14:paraId="72D6EA1A"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lastRenderedPageBreak/>
              <w:t>AAP</w:t>
            </w:r>
          </w:p>
        </w:tc>
        <w:tc>
          <w:tcPr>
            <w:tcW w:w="8008" w:type="dxa"/>
          </w:tcPr>
          <w:p w14:paraId="39DFD1B2"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Autorización ambiental previa, según lo estipula la Ley No. 16.646</w:t>
            </w:r>
          </w:p>
        </w:tc>
      </w:tr>
      <w:tr w:rsidR="003B3957" w:rsidRPr="001F2CE5" w14:paraId="3E965896" w14:textId="77777777" w:rsidTr="000B2B5D">
        <w:tc>
          <w:tcPr>
            <w:tcW w:w="1668" w:type="dxa"/>
          </w:tcPr>
          <w:p w14:paraId="70EF89FC"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val="es-AR" w:eastAsia="es-ES_tradnl"/>
              </w:rPr>
              <w:t>Audiencia</w:t>
            </w:r>
          </w:p>
        </w:tc>
        <w:tc>
          <w:tcPr>
            <w:tcW w:w="8008" w:type="dxa"/>
          </w:tcPr>
          <w:p w14:paraId="308D7A37"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La audiencia celebrada en el presente arbitraje en la ciudad de Washington, D.C., del 20 al 31 de enero de 2020 y del 19 al 22 de febrero de 2020</w:t>
            </w:r>
          </w:p>
        </w:tc>
      </w:tr>
      <w:tr w:rsidR="003B3957" w:rsidRPr="00AB7B88" w14:paraId="2B4F4E11" w14:textId="77777777" w:rsidTr="000B2B5D">
        <w:tc>
          <w:tcPr>
            <w:tcW w:w="1668" w:type="dxa"/>
          </w:tcPr>
          <w:p w14:paraId="28D14CB5"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BML</w:t>
            </w:r>
          </w:p>
        </w:tc>
        <w:tc>
          <w:tcPr>
            <w:tcW w:w="8008" w:type="dxa"/>
          </w:tcPr>
          <w:p w14:paraId="007889E9"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Bahia Minera</w:t>
            </w:r>
            <w:r w:rsidR="00E120C7" w:rsidRPr="00AB7B88">
              <w:rPr>
                <w:rFonts w:cs="NotoSerif"/>
                <w:sz w:val="20"/>
                <w:szCs w:val="17"/>
                <w:lang w:val="es-AR"/>
              </w:rPr>
              <w:t>çã</w:t>
            </w:r>
            <w:r w:rsidRPr="00AB7B88">
              <w:rPr>
                <w:rStyle w:val="Bodytext8pt"/>
                <w:b w:val="0"/>
                <w:color w:val="000000"/>
                <w:sz w:val="20"/>
                <w:lang w:eastAsia="es-ES_tradnl"/>
              </w:rPr>
              <w:t>o Limitada</w:t>
            </w:r>
          </w:p>
        </w:tc>
      </w:tr>
      <w:tr w:rsidR="003B3957" w:rsidRPr="001F2CE5" w14:paraId="3DAC9661" w14:textId="77777777" w:rsidTr="000B2B5D">
        <w:tc>
          <w:tcPr>
            <w:tcW w:w="1668" w:type="dxa"/>
          </w:tcPr>
          <w:p w14:paraId="1C72B247"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Carta de Deseos</w:t>
            </w:r>
          </w:p>
        </w:tc>
        <w:tc>
          <w:tcPr>
            <w:tcW w:w="8008" w:type="dxa"/>
          </w:tcPr>
          <w:p w14:paraId="772E1370"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Carta de deseos enviada por Pramod Agarwal a Sushil Jiwarajka, del 10 de abril de 2008</w:t>
            </w:r>
          </w:p>
        </w:tc>
      </w:tr>
      <w:tr w:rsidR="003B3957" w:rsidRPr="00AB7B88" w14:paraId="1F4BBCDA" w14:textId="77777777" w:rsidTr="000B2B5D">
        <w:tc>
          <w:tcPr>
            <w:tcW w:w="1668" w:type="dxa"/>
          </w:tcPr>
          <w:p w14:paraId="2111CBA6"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CDI</w:t>
            </w:r>
          </w:p>
        </w:tc>
        <w:tc>
          <w:tcPr>
            <w:tcW w:w="8008" w:type="dxa"/>
          </w:tcPr>
          <w:p w14:paraId="42BE72ED"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Comisión de Derecho Internacional</w:t>
            </w:r>
          </w:p>
        </w:tc>
      </w:tr>
      <w:tr w:rsidR="003B3957" w:rsidRPr="001F2CE5" w14:paraId="498D4547" w14:textId="77777777" w:rsidTr="000B2B5D">
        <w:tc>
          <w:tcPr>
            <w:tcW w:w="1668" w:type="dxa"/>
          </w:tcPr>
          <w:p w14:paraId="3798A700"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Codigo de Minería</w:t>
            </w:r>
          </w:p>
        </w:tc>
        <w:tc>
          <w:tcPr>
            <w:tcW w:w="8008" w:type="dxa"/>
          </w:tcPr>
          <w:p w14:paraId="764B807D"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Ley No. 15.242 del Código de Minería, del 8 de enero de 1982</w:t>
            </w:r>
          </w:p>
        </w:tc>
      </w:tr>
      <w:tr w:rsidR="003B3957" w:rsidRPr="001F2CE5" w14:paraId="445D77D3" w14:textId="77777777" w:rsidTr="000B2B5D">
        <w:tc>
          <w:tcPr>
            <w:tcW w:w="1668" w:type="dxa"/>
          </w:tcPr>
          <w:p w14:paraId="4BA79706"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Contrato de Concesión</w:t>
            </w:r>
          </w:p>
        </w:tc>
        <w:tc>
          <w:tcPr>
            <w:tcW w:w="8008" w:type="dxa"/>
          </w:tcPr>
          <w:p w14:paraId="7759A009"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Contrato especial que rige las condiciones específicas de una concesión para explotar, que ha de celebrarse entre el Poder Ejecutivo y el titular de un proyecto de minería de gran porte, conforme a los artículos 23 a 25 de la Ley de Minería de Gran Porte</w:t>
            </w:r>
          </w:p>
        </w:tc>
      </w:tr>
      <w:tr w:rsidR="003B3957" w:rsidRPr="001F2CE5" w14:paraId="2359A865" w14:textId="77777777" w:rsidTr="000B2B5D">
        <w:tc>
          <w:tcPr>
            <w:tcW w:w="1668" w:type="dxa"/>
          </w:tcPr>
          <w:p w14:paraId="50CAAB8C"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Convención de Viena</w:t>
            </w:r>
          </w:p>
        </w:tc>
        <w:tc>
          <w:tcPr>
            <w:tcW w:w="8008" w:type="dxa"/>
          </w:tcPr>
          <w:p w14:paraId="0A240828"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2"/>
                <w:rFonts w:ascii="Times New Roman" w:hAnsi="Times New Roman"/>
                <w:b w:val="0"/>
                <w:color w:val="000000"/>
                <w:sz w:val="20"/>
                <w:u w:val="single"/>
                <w:lang w:val="es-AR" w:eastAsia="es-ES_tradnl"/>
              </w:rPr>
              <w:t>Convención de Viena sobre el Derecho de los Tratados</w:t>
            </w:r>
            <w:r w:rsidRPr="00AB7B88">
              <w:rPr>
                <w:rStyle w:val="Bodytext8pt"/>
                <w:b w:val="0"/>
                <w:color w:val="000000"/>
                <w:sz w:val="20"/>
                <w:lang w:val="es-AR" w:eastAsia="es-ES_tradnl"/>
              </w:rPr>
              <w:t>, del 23 de mayo de 1969</w:t>
            </w:r>
          </w:p>
        </w:tc>
      </w:tr>
      <w:tr w:rsidR="003B3957" w:rsidRPr="00AB7B88" w14:paraId="0820F493" w14:textId="77777777" w:rsidTr="000B2B5D">
        <w:tc>
          <w:tcPr>
            <w:tcW w:w="1668" w:type="dxa"/>
          </w:tcPr>
          <w:p w14:paraId="419DF791"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CPA</w:t>
            </w:r>
          </w:p>
        </w:tc>
        <w:tc>
          <w:tcPr>
            <w:tcW w:w="8008" w:type="dxa"/>
          </w:tcPr>
          <w:p w14:paraId="642F5D73"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Corte Permanente’ de Arbitraje</w:t>
            </w:r>
          </w:p>
        </w:tc>
      </w:tr>
      <w:tr w:rsidR="003B3957" w:rsidRPr="001F2CE5" w14:paraId="574ED03F" w14:textId="77777777" w:rsidTr="000B2B5D">
        <w:tc>
          <w:tcPr>
            <w:tcW w:w="1668" w:type="dxa"/>
          </w:tcPr>
          <w:p w14:paraId="73535F2D"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Declaración de Caducidad</w:t>
            </w:r>
          </w:p>
        </w:tc>
        <w:tc>
          <w:tcPr>
            <w:tcW w:w="8008" w:type="dxa"/>
          </w:tcPr>
          <w:p w14:paraId="60772EE4"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Resolución No. 885/17 del presidente de Uruguay, del 17 de diciembre de 2015</w:t>
            </w:r>
          </w:p>
        </w:tc>
      </w:tr>
      <w:tr w:rsidR="003B3957" w:rsidRPr="001F2CE5" w14:paraId="2157B357" w14:textId="77777777" w:rsidTr="000B2B5D">
        <w:tc>
          <w:tcPr>
            <w:tcW w:w="1668" w:type="dxa"/>
          </w:tcPr>
          <w:p w14:paraId="0597DE8D"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Declaración de Jiwarajka</w:t>
            </w:r>
          </w:p>
        </w:tc>
        <w:tc>
          <w:tcPr>
            <w:tcW w:w="8008" w:type="dxa"/>
          </w:tcPr>
          <w:p w14:paraId="2E417CA6"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Declaración testimonial de Sushil Jiwarajka, del 11 de junio de 2019</w:t>
            </w:r>
          </w:p>
        </w:tc>
      </w:tr>
      <w:tr w:rsidR="003B3957" w:rsidRPr="001F2CE5" w14:paraId="605D5F6D" w14:textId="77777777" w:rsidTr="000B2B5D">
        <w:tc>
          <w:tcPr>
            <w:tcW w:w="1668" w:type="dxa"/>
          </w:tcPr>
          <w:p w14:paraId="3C87CB93"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Declaración de Mehta</w:t>
            </w:r>
          </w:p>
        </w:tc>
        <w:tc>
          <w:tcPr>
            <w:tcW w:w="8008" w:type="dxa"/>
          </w:tcPr>
          <w:p w14:paraId="40999E5E"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Declaración testimonial de Siddharth Mehta, del 12 de junio de 2019</w:t>
            </w:r>
          </w:p>
        </w:tc>
      </w:tr>
      <w:tr w:rsidR="003B3957" w:rsidRPr="001F2CE5" w14:paraId="7E440B29" w14:textId="77777777" w:rsidTr="000B2B5D">
        <w:tc>
          <w:tcPr>
            <w:tcW w:w="1668" w:type="dxa"/>
          </w:tcPr>
          <w:p w14:paraId="7922CC49"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Demandada o Uruguay</w:t>
            </w:r>
          </w:p>
        </w:tc>
        <w:tc>
          <w:tcPr>
            <w:tcW w:w="8008" w:type="dxa"/>
          </w:tcPr>
          <w:p w14:paraId="4703F7BE"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La República Oriental del Uruguay</w:t>
            </w:r>
          </w:p>
        </w:tc>
      </w:tr>
      <w:tr w:rsidR="003B3957" w:rsidRPr="001F2CE5" w14:paraId="4AC7A15C" w14:textId="77777777" w:rsidTr="000B2B5D">
        <w:tc>
          <w:tcPr>
            <w:tcW w:w="1668" w:type="dxa"/>
          </w:tcPr>
          <w:p w14:paraId="136D2D9E"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Demandantes</w:t>
            </w:r>
          </w:p>
        </w:tc>
        <w:tc>
          <w:tcPr>
            <w:tcW w:w="8008" w:type="dxa"/>
          </w:tcPr>
          <w:p w14:paraId="5E7BB47A"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Ritika Mehta, Vinita Agarwal y Prenay Agarwal</w:t>
            </w:r>
          </w:p>
        </w:tc>
      </w:tr>
      <w:tr w:rsidR="003B3957" w:rsidRPr="001F2CE5" w14:paraId="59E39C01" w14:textId="77777777" w:rsidTr="000B2B5D">
        <w:tc>
          <w:tcPr>
            <w:tcW w:w="1668" w:type="dxa"/>
          </w:tcPr>
          <w:p w14:paraId="6786159E"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DINAMA</w:t>
            </w:r>
          </w:p>
        </w:tc>
        <w:tc>
          <w:tcPr>
            <w:tcW w:w="8008" w:type="dxa"/>
          </w:tcPr>
          <w:p w14:paraId="1DF84E61"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Dirección Nacional de Medio Ambiente</w:t>
            </w:r>
          </w:p>
        </w:tc>
      </w:tr>
      <w:tr w:rsidR="003B3957" w:rsidRPr="001F2CE5" w14:paraId="7C09EA50" w14:textId="77777777" w:rsidTr="000B2B5D">
        <w:tc>
          <w:tcPr>
            <w:tcW w:w="1668" w:type="dxa"/>
          </w:tcPr>
          <w:p w14:paraId="0BE4B81F"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Documento de Acuerdo</w:t>
            </w:r>
          </w:p>
        </w:tc>
        <w:tc>
          <w:tcPr>
            <w:tcW w:w="8008" w:type="dxa"/>
          </w:tcPr>
          <w:p w14:paraId="607823FF"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Documento de Acuerdo, aprobado por la Comisión de análisis de la Minería de Gran Porte (conocida también como la Comisión Multipartidaria) el 22 de diciembre de 2011</w:t>
            </w:r>
          </w:p>
        </w:tc>
      </w:tr>
      <w:tr w:rsidR="003B3957" w:rsidRPr="001F2CE5" w14:paraId="683FDBEC" w14:textId="77777777" w:rsidTr="000B2B5D">
        <w:tc>
          <w:tcPr>
            <w:tcW w:w="1668" w:type="dxa"/>
          </w:tcPr>
          <w:p w14:paraId="236F08DC"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Dúplica</w:t>
            </w:r>
          </w:p>
          <w:p w14:paraId="75B394E5"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(Fondo)</w:t>
            </w:r>
          </w:p>
        </w:tc>
        <w:tc>
          <w:tcPr>
            <w:tcW w:w="8008" w:type="dxa"/>
          </w:tcPr>
          <w:p w14:paraId="0563FF25"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La Dúplica sobre el Fondo de la Demandada, del 22 de noviembre de 2019</w:t>
            </w:r>
          </w:p>
        </w:tc>
      </w:tr>
      <w:tr w:rsidR="003B3957" w:rsidRPr="001F2CE5" w14:paraId="1900DEE8" w14:textId="77777777" w:rsidTr="000B2B5D">
        <w:tc>
          <w:tcPr>
            <w:tcW w:w="1668" w:type="dxa"/>
          </w:tcPr>
          <w:p w14:paraId="74E4D063"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Dúplica</w:t>
            </w:r>
          </w:p>
          <w:p w14:paraId="091B5623"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(Jurisdicción)</w:t>
            </w:r>
          </w:p>
        </w:tc>
        <w:tc>
          <w:tcPr>
            <w:tcW w:w="8008" w:type="dxa"/>
          </w:tcPr>
          <w:p w14:paraId="78C42D0A"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La Dúplica sobre Jurisdicción de los Demandantes, del 3 de enero de 2020</w:t>
            </w:r>
          </w:p>
        </w:tc>
      </w:tr>
      <w:tr w:rsidR="003B3957" w:rsidRPr="001F2CE5" w14:paraId="4233E66A" w14:textId="77777777" w:rsidTr="000B2B5D">
        <w:tc>
          <w:tcPr>
            <w:tcW w:w="1668" w:type="dxa"/>
          </w:tcPr>
          <w:p w14:paraId="517430F0"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Escrito de</w:t>
            </w:r>
          </w:p>
          <w:p w14:paraId="71864C0A"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lastRenderedPageBreak/>
              <w:t>Contestación</w:t>
            </w:r>
          </w:p>
          <w:p w14:paraId="48200834"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(Fondo)</w:t>
            </w:r>
          </w:p>
        </w:tc>
        <w:tc>
          <w:tcPr>
            <w:tcW w:w="8008" w:type="dxa"/>
          </w:tcPr>
          <w:p w14:paraId="0FE79460"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lastRenderedPageBreak/>
              <w:t>El Escrito de Contestación sobre el Fondo de la Demandada, del 14 de diciembre de 2018</w:t>
            </w:r>
          </w:p>
        </w:tc>
      </w:tr>
      <w:tr w:rsidR="003B3957" w:rsidRPr="001F2CE5" w14:paraId="07334644" w14:textId="77777777" w:rsidTr="000B2B5D">
        <w:tc>
          <w:tcPr>
            <w:tcW w:w="1668" w:type="dxa"/>
          </w:tcPr>
          <w:p w14:paraId="5C1B4B8B"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Escrito de</w:t>
            </w:r>
          </w:p>
          <w:p w14:paraId="1E2E07F0"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Contestación</w:t>
            </w:r>
          </w:p>
          <w:p w14:paraId="66F34000"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(Jurisdicción)</w:t>
            </w:r>
          </w:p>
        </w:tc>
        <w:tc>
          <w:tcPr>
            <w:tcW w:w="8008" w:type="dxa"/>
          </w:tcPr>
          <w:p w14:paraId="1CEB3A96"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El Escrito de Contestación sobre Objeciones a la Jurisdicción de los Demandantes, del 14 de junio de 2019</w:t>
            </w:r>
          </w:p>
        </w:tc>
      </w:tr>
      <w:tr w:rsidR="003B3957" w:rsidRPr="001F2CE5" w14:paraId="72998C79" w14:textId="77777777" w:rsidTr="000B2B5D">
        <w:tc>
          <w:tcPr>
            <w:tcW w:w="1668" w:type="dxa"/>
          </w:tcPr>
          <w:p w14:paraId="551B53E7"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Escrito de Demanda</w:t>
            </w:r>
          </w:p>
        </w:tc>
        <w:tc>
          <w:tcPr>
            <w:tcW w:w="8008" w:type="dxa"/>
          </w:tcPr>
          <w:p w14:paraId="146E9D69"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El Escrito de Demanda de los Demandantes, del 3 de julio de 2018</w:t>
            </w:r>
          </w:p>
        </w:tc>
      </w:tr>
      <w:tr w:rsidR="003B3957" w:rsidRPr="001F2CE5" w14:paraId="4277B44F" w14:textId="77777777" w:rsidTr="000B2B5D">
        <w:tc>
          <w:tcPr>
            <w:tcW w:w="1668" w:type="dxa"/>
          </w:tcPr>
          <w:p w14:paraId="07AEFB2A"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Escritura de Modificación</w:t>
            </w:r>
          </w:p>
        </w:tc>
        <w:tc>
          <w:tcPr>
            <w:tcW w:w="8008" w:type="dxa"/>
          </w:tcPr>
          <w:p w14:paraId="5EE641D0"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 xml:space="preserve">Escritura de modificación de la escritura de constitución del </w:t>
            </w:r>
            <w:r w:rsidRPr="00AB7B88">
              <w:rPr>
                <w:rStyle w:val="Bodytext8pt1"/>
                <w:rFonts w:ascii="Times New Roman" w:hAnsi="Times New Roman"/>
                <w:b w:val="0"/>
                <w:color w:val="000000"/>
                <w:sz w:val="20"/>
                <w:lang w:val="es-AR" w:eastAsia="es-ES_tradnl"/>
              </w:rPr>
              <w:t>Trust</w:t>
            </w:r>
            <w:r w:rsidRPr="00AB7B88">
              <w:rPr>
                <w:rStyle w:val="Bodytext8pt"/>
                <w:b w:val="0"/>
                <w:color w:val="000000"/>
                <w:sz w:val="20"/>
                <w:lang w:val="es-AR" w:eastAsia="es-ES_tradnl"/>
              </w:rPr>
              <w:t xml:space="preserve"> P. Devi, del 1 de agosto de 2016</w:t>
            </w:r>
          </w:p>
        </w:tc>
      </w:tr>
      <w:tr w:rsidR="003B3957" w:rsidRPr="001F2CE5" w14:paraId="5C87C012" w14:textId="77777777" w:rsidTr="000B2B5D">
        <w:tc>
          <w:tcPr>
            <w:tcW w:w="1668" w:type="dxa"/>
          </w:tcPr>
          <w:p w14:paraId="054D1C2F"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Estudio de prefactibilidad o PFS</w:t>
            </w:r>
          </w:p>
        </w:tc>
        <w:tc>
          <w:tcPr>
            <w:tcW w:w="8008" w:type="dxa"/>
          </w:tcPr>
          <w:p w14:paraId="7A3EF69C"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Estudio de prefactibilidad FEL-2 de SNC- Lavalin para el Proyecto de Magnetita de 18 tmpa, del 23 de abril de 2010</w:t>
            </w:r>
          </w:p>
        </w:tc>
      </w:tr>
      <w:tr w:rsidR="003B3957" w:rsidRPr="001F2CE5" w14:paraId="279E631D" w14:textId="77777777" w:rsidTr="000B2B5D">
        <w:tc>
          <w:tcPr>
            <w:tcW w:w="1668" w:type="dxa"/>
          </w:tcPr>
          <w:p w14:paraId="5EE0670D"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Estudio definitivo de factibilidad o DFS</w:t>
            </w:r>
          </w:p>
        </w:tc>
        <w:tc>
          <w:tcPr>
            <w:tcW w:w="8008" w:type="dxa"/>
          </w:tcPr>
          <w:p w14:paraId="61DE48DE"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Informe del Estudio definitivo de factibilidad realizado por SNC-Lavalin para el Proyecto de mineral de hierro Valentines, del 15 de julio de 2011</w:t>
            </w:r>
          </w:p>
        </w:tc>
      </w:tr>
      <w:tr w:rsidR="003B3957" w:rsidRPr="001F2CE5" w14:paraId="51099BB5" w14:textId="77777777" w:rsidTr="000B2B5D">
        <w:tc>
          <w:tcPr>
            <w:tcW w:w="1668" w:type="dxa"/>
          </w:tcPr>
          <w:p w14:paraId="024D09AF"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Ingresos</w:t>
            </w:r>
          </w:p>
          <w:p w14:paraId="60793040"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Residuales</w:t>
            </w:r>
          </w:p>
        </w:tc>
        <w:tc>
          <w:tcPr>
            <w:tcW w:w="8008" w:type="dxa"/>
          </w:tcPr>
          <w:p w14:paraId="243CF181"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 xml:space="preserve">Toda la renta derivada del Fondo del </w:t>
            </w:r>
            <w:r w:rsidRPr="00AB7B88">
              <w:rPr>
                <w:rStyle w:val="Bodytext8pt1"/>
                <w:rFonts w:ascii="Times New Roman" w:hAnsi="Times New Roman"/>
                <w:b w:val="0"/>
                <w:color w:val="000000"/>
                <w:sz w:val="20"/>
                <w:lang w:val="es-AR" w:eastAsia="es-ES_tradnl"/>
              </w:rPr>
              <w:t>Trust,</w:t>
            </w:r>
            <w:r w:rsidRPr="00AB7B88">
              <w:rPr>
                <w:rStyle w:val="Bodytext8pt"/>
                <w:b w:val="0"/>
                <w:color w:val="000000"/>
                <w:sz w:val="20"/>
                <w:lang w:val="es-AR" w:eastAsia="es-ES_tradnl"/>
              </w:rPr>
              <w:t xml:space="preserve"> excepto los ingresos derivados de los bienes brasileños, conforme a la Escritura de Modificación</w:t>
            </w:r>
          </w:p>
        </w:tc>
      </w:tr>
      <w:tr w:rsidR="003B3957" w:rsidRPr="00AB7B88" w14:paraId="2B14BFB0" w14:textId="77777777" w:rsidTr="000B2B5D">
        <w:tc>
          <w:tcPr>
            <w:tcW w:w="1668" w:type="dxa"/>
          </w:tcPr>
          <w:p w14:paraId="78A75148"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Invertexi</w:t>
            </w:r>
          </w:p>
        </w:tc>
        <w:tc>
          <w:tcPr>
            <w:tcW w:w="8008" w:type="dxa"/>
          </w:tcPr>
          <w:p w14:paraId="45E631E4"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Invertexi S.A., "Ferrovalentines"</w:t>
            </w:r>
          </w:p>
        </w:tc>
      </w:tr>
      <w:tr w:rsidR="003B3957" w:rsidRPr="001F2CE5" w14:paraId="2DC8BB47" w14:textId="77777777" w:rsidTr="000B2B5D">
        <w:tc>
          <w:tcPr>
            <w:tcW w:w="1668" w:type="dxa"/>
          </w:tcPr>
          <w:p w14:paraId="560A7DD5"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IUSCT</w:t>
            </w:r>
          </w:p>
        </w:tc>
        <w:tc>
          <w:tcPr>
            <w:tcW w:w="8008" w:type="dxa"/>
          </w:tcPr>
          <w:p w14:paraId="6B8A2560"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Tribunal de Reclamaciones Irán-Estados Unidos</w:t>
            </w:r>
          </w:p>
        </w:tc>
      </w:tr>
      <w:tr w:rsidR="003B3957" w:rsidRPr="001F2CE5" w14:paraId="19994CE1" w14:textId="77777777" w:rsidTr="000B2B5D">
        <w:tc>
          <w:tcPr>
            <w:tcW w:w="1668" w:type="dxa"/>
          </w:tcPr>
          <w:p w14:paraId="08C55FBF"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Ley de Minería de Gran Porte</w:t>
            </w:r>
          </w:p>
        </w:tc>
        <w:tc>
          <w:tcPr>
            <w:tcW w:w="8008" w:type="dxa"/>
          </w:tcPr>
          <w:p w14:paraId="16F6EAC5"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Ley No. 19.126 de Minería de Gran Porte, del 11 de septiembre de 2013</w:t>
            </w:r>
          </w:p>
        </w:tc>
      </w:tr>
      <w:tr w:rsidR="003B3957" w:rsidRPr="001F2CE5" w14:paraId="531FE5EC" w14:textId="77777777" w:rsidTr="000B2B5D">
        <w:tc>
          <w:tcPr>
            <w:tcW w:w="1668" w:type="dxa"/>
          </w:tcPr>
          <w:p w14:paraId="292707E4"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Memorando</w:t>
            </w:r>
          </w:p>
          <w:p w14:paraId="5966797D"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de</w:t>
            </w:r>
          </w:p>
          <w:p w14:paraId="4B4F8B13"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Entendimiento</w:t>
            </w:r>
          </w:p>
        </w:tc>
        <w:tc>
          <w:tcPr>
            <w:tcW w:w="8008" w:type="dxa"/>
          </w:tcPr>
          <w:p w14:paraId="45972980"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Memorando de entendimiento negociado por Minera Aratirí y el Gobierno de Uruguay entre 2009 y 2010</w:t>
            </w:r>
          </w:p>
        </w:tc>
      </w:tr>
      <w:tr w:rsidR="003B3957" w:rsidRPr="001F2CE5" w14:paraId="440FCA32" w14:textId="77777777" w:rsidTr="000B2B5D">
        <w:tc>
          <w:tcPr>
            <w:tcW w:w="1668" w:type="dxa"/>
          </w:tcPr>
          <w:p w14:paraId="09C46116"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Memorial</w:t>
            </w:r>
          </w:p>
          <w:p w14:paraId="4DCD2E02"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(Jurisdicción)</w:t>
            </w:r>
          </w:p>
        </w:tc>
        <w:tc>
          <w:tcPr>
            <w:tcW w:w="8008" w:type="dxa"/>
          </w:tcPr>
          <w:p w14:paraId="536AD23A"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El Memorial de la Demandada sobre Objeciones a la Jurisdicción, del 14 de diciembre de 2018</w:t>
            </w:r>
          </w:p>
        </w:tc>
      </w:tr>
      <w:tr w:rsidR="003B3957" w:rsidRPr="00AB7B88" w14:paraId="193C9F28" w14:textId="77777777" w:rsidTr="000B2B5D">
        <w:tc>
          <w:tcPr>
            <w:tcW w:w="1668" w:type="dxa"/>
          </w:tcPr>
          <w:p w14:paraId="2CCCB2D0"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Miari</w:t>
            </w:r>
          </w:p>
        </w:tc>
        <w:tc>
          <w:tcPr>
            <w:tcW w:w="8008" w:type="dxa"/>
          </w:tcPr>
          <w:p w14:paraId="43F49673"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Miari PTC Ltd.</w:t>
            </w:r>
          </w:p>
        </w:tc>
      </w:tr>
      <w:tr w:rsidR="003B3957" w:rsidRPr="001F2CE5" w14:paraId="36D1CCEA" w14:textId="77777777" w:rsidTr="000B2B5D">
        <w:tc>
          <w:tcPr>
            <w:tcW w:w="1668" w:type="dxa"/>
          </w:tcPr>
          <w:p w14:paraId="45B29227"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MIEM</w:t>
            </w:r>
          </w:p>
        </w:tc>
        <w:tc>
          <w:tcPr>
            <w:tcW w:w="8008" w:type="dxa"/>
          </w:tcPr>
          <w:p w14:paraId="6E9DCD17"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Ministerio de Industria, Energía y Minería</w:t>
            </w:r>
          </w:p>
        </w:tc>
      </w:tr>
      <w:tr w:rsidR="003B3957" w:rsidRPr="00AB7B88" w14:paraId="5ACC3E3E" w14:textId="77777777" w:rsidTr="000B2B5D">
        <w:tc>
          <w:tcPr>
            <w:tcW w:w="1668" w:type="dxa"/>
          </w:tcPr>
          <w:p w14:paraId="29AEF3AB"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Minera Aratirí</w:t>
            </w:r>
          </w:p>
        </w:tc>
        <w:tc>
          <w:tcPr>
            <w:tcW w:w="8008" w:type="dxa"/>
          </w:tcPr>
          <w:p w14:paraId="37C6A59D"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Minera Aratirí, S.A.</w:t>
            </w:r>
          </w:p>
        </w:tc>
      </w:tr>
      <w:tr w:rsidR="003B3957" w:rsidRPr="001F2CE5" w14:paraId="57A7BFD9" w14:textId="77777777" w:rsidTr="000B2B5D">
        <w:tc>
          <w:tcPr>
            <w:tcW w:w="1668" w:type="dxa"/>
          </w:tcPr>
          <w:p w14:paraId="687CB1EE"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 xml:space="preserve">Notificación de </w:t>
            </w:r>
            <w:r w:rsidRPr="00AB7B88">
              <w:rPr>
                <w:rStyle w:val="Bodytext8pt"/>
                <w:b w:val="0"/>
                <w:color w:val="000000"/>
                <w:sz w:val="20"/>
                <w:lang w:eastAsia="es-ES_tradnl"/>
              </w:rPr>
              <w:lastRenderedPageBreak/>
              <w:t>Arbitraje</w:t>
            </w:r>
          </w:p>
        </w:tc>
        <w:tc>
          <w:tcPr>
            <w:tcW w:w="8008" w:type="dxa"/>
          </w:tcPr>
          <w:p w14:paraId="12C2D666"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lastRenderedPageBreak/>
              <w:t>La Notificación de Arbitraje de los Demandantes, del 19 de julio de 2017</w:t>
            </w:r>
          </w:p>
        </w:tc>
      </w:tr>
      <w:tr w:rsidR="003B3957" w:rsidRPr="001F2CE5" w14:paraId="1E705EA8" w14:textId="77777777" w:rsidTr="000B2B5D">
        <w:tc>
          <w:tcPr>
            <w:tcW w:w="1668" w:type="dxa"/>
          </w:tcPr>
          <w:p w14:paraId="5977DBE5"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Notificación de Disputa</w:t>
            </w:r>
          </w:p>
        </w:tc>
        <w:tc>
          <w:tcPr>
            <w:tcW w:w="8008" w:type="dxa"/>
          </w:tcPr>
          <w:p w14:paraId="663BC7E4"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Carta de Sandra González de Ferrere al presidente Tabaré Vázquez, del 3 de octubre de 2016</w:t>
            </w:r>
          </w:p>
        </w:tc>
      </w:tr>
      <w:tr w:rsidR="003B3957" w:rsidRPr="001F2CE5" w14:paraId="6E2C0A7E" w14:textId="77777777" w:rsidTr="000B2B5D">
        <w:tc>
          <w:tcPr>
            <w:tcW w:w="1668" w:type="dxa"/>
          </w:tcPr>
          <w:p w14:paraId="57EC0AED"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Partes</w:t>
            </w:r>
          </w:p>
        </w:tc>
        <w:tc>
          <w:tcPr>
            <w:tcW w:w="8008" w:type="dxa"/>
          </w:tcPr>
          <w:p w14:paraId="156C1345"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Los Demandantes y la Demandada</w:t>
            </w:r>
          </w:p>
        </w:tc>
      </w:tr>
      <w:tr w:rsidR="003B3957" w:rsidRPr="001F2CE5" w14:paraId="3595BEB5" w14:textId="77777777" w:rsidTr="000B2B5D">
        <w:tc>
          <w:tcPr>
            <w:tcW w:w="1668" w:type="dxa"/>
          </w:tcPr>
          <w:p w14:paraId="2A9B681B"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Primer informe de Delpiazzo</w:t>
            </w:r>
          </w:p>
        </w:tc>
        <w:tc>
          <w:tcPr>
            <w:tcW w:w="8008" w:type="dxa"/>
          </w:tcPr>
          <w:p w14:paraId="26F58FAE"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Primer informe pericial de Carlos E. Delpiazzo, del 21 de junio de 2018</w:t>
            </w:r>
          </w:p>
        </w:tc>
      </w:tr>
      <w:tr w:rsidR="003B3957" w:rsidRPr="001F2CE5" w14:paraId="043459A1" w14:textId="77777777" w:rsidTr="000B2B5D">
        <w:tc>
          <w:tcPr>
            <w:tcW w:w="1668" w:type="dxa"/>
          </w:tcPr>
          <w:p w14:paraId="4CC1FDF2" w14:textId="77777777" w:rsidR="003B3957" w:rsidRPr="00C132A4" w:rsidRDefault="003B3957" w:rsidP="000B2B5D">
            <w:pPr>
              <w:pStyle w:val="Bodytext1"/>
              <w:shd w:val="clear" w:color="auto" w:fill="auto"/>
              <w:spacing w:before="40" w:after="40" w:line="360" w:lineRule="auto"/>
              <w:ind w:left="40" w:right="40" w:firstLine="0"/>
              <w:rPr>
                <w:b/>
                <w:sz w:val="20"/>
                <w:lang w:val="fr-FR"/>
              </w:rPr>
            </w:pPr>
            <w:r w:rsidRPr="00C132A4">
              <w:rPr>
                <w:rStyle w:val="Bodytext8pt"/>
                <w:b w:val="0"/>
                <w:color w:val="000000"/>
                <w:sz w:val="20"/>
                <w:lang w:val="fr-FR" w:eastAsia="es-ES_tradnl"/>
              </w:rPr>
              <w:t>Primer informe de Fernández Reyes</w:t>
            </w:r>
          </w:p>
        </w:tc>
        <w:tc>
          <w:tcPr>
            <w:tcW w:w="8008" w:type="dxa"/>
          </w:tcPr>
          <w:p w14:paraId="4937FEBC"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Primer informe pericial de Jorge Fernández Reyes, del 5 de diciembre de 2018</w:t>
            </w:r>
          </w:p>
        </w:tc>
      </w:tr>
      <w:tr w:rsidR="003B3957" w:rsidRPr="001F2CE5" w14:paraId="7D2F74C7" w14:textId="77777777" w:rsidTr="000B2B5D">
        <w:tc>
          <w:tcPr>
            <w:tcW w:w="1668" w:type="dxa"/>
          </w:tcPr>
          <w:p w14:paraId="675F151B"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Primer informe de Green</w:t>
            </w:r>
          </w:p>
        </w:tc>
        <w:tc>
          <w:tcPr>
            <w:tcW w:w="8008" w:type="dxa"/>
          </w:tcPr>
          <w:p w14:paraId="45B99FAC"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Primer informe pericial de Brian Green QC, del 12 de junio de 2019</w:t>
            </w:r>
          </w:p>
        </w:tc>
      </w:tr>
      <w:tr w:rsidR="003B3957" w:rsidRPr="001F2CE5" w14:paraId="0F93E357" w14:textId="77777777" w:rsidTr="000B2B5D">
        <w:tc>
          <w:tcPr>
            <w:tcW w:w="1668" w:type="dxa"/>
          </w:tcPr>
          <w:p w14:paraId="209FFAB2"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Primer informe de Reisman</w:t>
            </w:r>
          </w:p>
        </w:tc>
        <w:tc>
          <w:tcPr>
            <w:tcW w:w="8008" w:type="dxa"/>
          </w:tcPr>
          <w:p w14:paraId="346130A4"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Primer informe pericial de W. Michael Reisman, del 22 de mayo de 2019</w:t>
            </w:r>
          </w:p>
        </w:tc>
      </w:tr>
      <w:tr w:rsidR="003B3957" w:rsidRPr="001F2CE5" w14:paraId="30C9E6B6" w14:textId="77777777" w:rsidTr="000B2B5D">
        <w:tc>
          <w:tcPr>
            <w:tcW w:w="1668" w:type="dxa"/>
          </w:tcPr>
          <w:p w14:paraId="37853954"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Primer informe de Reynolds</w:t>
            </w:r>
          </w:p>
        </w:tc>
        <w:tc>
          <w:tcPr>
            <w:tcW w:w="8008" w:type="dxa"/>
          </w:tcPr>
          <w:p w14:paraId="0CF51240"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Primer informe pericial de Rachael Reynolds, del 29 de noviembre de 2018</w:t>
            </w:r>
          </w:p>
        </w:tc>
      </w:tr>
      <w:tr w:rsidR="003B3957" w:rsidRPr="001F2CE5" w14:paraId="1D28E3E6" w14:textId="77777777" w:rsidTr="000B2B5D">
        <w:tc>
          <w:tcPr>
            <w:tcW w:w="1668" w:type="dxa"/>
          </w:tcPr>
          <w:p w14:paraId="4CA49634"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Primera declaración de Agarwal</w:t>
            </w:r>
          </w:p>
        </w:tc>
        <w:tc>
          <w:tcPr>
            <w:tcW w:w="8008" w:type="dxa"/>
          </w:tcPr>
          <w:p w14:paraId="61232AAC"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Primera declaración testimonial de Pramod Agarwal, del 29 de junio de 2018</w:t>
            </w:r>
          </w:p>
        </w:tc>
      </w:tr>
      <w:tr w:rsidR="003B3957" w:rsidRPr="001F2CE5" w14:paraId="0C76137C" w14:textId="77777777" w:rsidTr="000B2B5D">
        <w:tc>
          <w:tcPr>
            <w:tcW w:w="1668" w:type="dxa"/>
          </w:tcPr>
          <w:p w14:paraId="44BBB91C"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Primera declaración de Campal</w:t>
            </w:r>
          </w:p>
        </w:tc>
        <w:tc>
          <w:tcPr>
            <w:tcW w:w="8008" w:type="dxa"/>
          </w:tcPr>
          <w:p w14:paraId="70B936BE"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Primera declaración testimonial de Néstor Campal, del 11 de diciembre de 2018</w:t>
            </w:r>
          </w:p>
        </w:tc>
      </w:tr>
      <w:tr w:rsidR="003B3957" w:rsidRPr="001F2CE5" w14:paraId="7CCDBF7B" w14:textId="77777777" w:rsidTr="000B2B5D">
        <w:tc>
          <w:tcPr>
            <w:tcW w:w="1668" w:type="dxa"/>
          </w:tcPr>
          <w:p w14:paraId="28D62449"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Primera declaración de Chulepin</w:t>
            </w:r>
          </w:p>
        </w:tc>
        <w:tc>
          <w:tcPr>
            <w:tcW w:w="8008" w:type="dxa"/>
          </w:tcPr>
          <w:p w14:paraId="3A3ACCC0"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Primera declaración testimonial de Helga Chulepin, del 23 de agosto de 2017</w:t>
            </w:r>
          </w:p>
        </w:tc>
      </w:tr>
      <w:tr w:rsidR="003B3957" w:rsidRPr="001F2CE5" w14:paraId="5DBAE7E8" w14:textId="77777777" w:rsidTr="000B2B5D">
        <w:tc>
          <w:tcPr>
            <w:tcW w:w="1668" w:type="dxa"/>
          </w:tcPr>
          <w:p w14:paraId="7C37DACD"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Primera declaración de Kreimerman</w:t>
            </w:r>
          </w:p>
        </w:tc>
        <w:tc>
          <w:tcPr>
            <w:tcW w:w="8008" w:type="dxa"/>
          </w:tcPr>
          <w:p w14:paraId="05D1D3E7"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Primera declaración testimonial de Roberto Kreimerman, del 10 de diciembre de 2018</w:t>
            </w:r>
          </w:p>
        </w:tc>
      </w:tr>
      <w:tr w:rsidR="003B3957" w:rsidRPr="001F2CE5" w14:paraId="5E8D10F6" w14:textId="77777777" w:rsidTr="000B2B5D">
        <w:tc>
          <w:tcPr>
            <w:tcW w:w="1668" w:type="dxa"/>
          </w:tcPr>
          <w:p w14:paraId="665FA8D0"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Primera declaración de Piaggio</w:t>
            </w:r>
          </w:p>
        </w:tc>
        <w:tc>
          <w:tcPr>
            <w:tcW w:w="8008" w:type="dxa"/>
          </w:tcPr>
          <w:p w14:paraId="7EDC253A"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Primera declaración testimonial de Raquel Piaggio, del 11 de diciembre de 2018</w:t>
            </w:r>
          </w:p>
        </w:tc>
      </w:tr>
      <w:tr w:rsidR="003B3957" w:rsidRPr="001F2CE5" w14:paraId="7F8B3820" w14:textId="77777777" w:rsidTr="000B2B5D">
        <w:tc>
          <w:tcPr>
            <w:tcW w:w="1668" w:type="dxa"/>
          </w:tcPr>
          <w:p w14:paraId="64D0A6F9"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Primera declaración de Shah</w:t>
            </w:r>
          </w:p>
        </w:tc>
        <w:tc>
          <w:tcPr>
            <w:tcW w:w="8008" w:type="dxa"/>
          </w:tcPr>
          <w:p w14:paraId="33A29718"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Primera declaración testimonial de Jay Shah, del 3 de julio de 2018</w:t>
            </w:r>
          </w:p>
        </w:tc>
      </w:tr>
      <w:tr w:rsidR="003B3957" w:rsidRPr="001F2CE5" w14:paraId="1A18DD68" w14:textId="77777777" w:rsidTr="000B2B5D">
        <w:tc>
          <w:tcPr>
            <w:tcW w:w="1668" w:type="dxa"/>
          </w:tcPr>
          <w:p w14:paraId="1AF51D9C"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lastRenderedPageBreak/>
              <w:t>Proyecto Valentines o Proyecto</w:t>
            </w:r>
          </w:p>
        </w:tc>
        <w:tc>
          <w:tcPr>
            <w:tcW w:w="8008" w:type="dxa"/>
          </w:tcPr>
          <w:p w14:paraId="487DB86C"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Proyecto de minería para la prospección, exploración y explotación de la región de Valentines en Uruguay con el fin de extraer y comercializar mineral de hierro, iniciado por Zamin por medio de la Minera Aratirí y otras filiales</w:t>
            </w:r>
          </w:p>
        </w:tc>
      </w:tr>
      <w:tr w:rsidR="003B3957" w:rsidRPr="001F2CE5" w14:paraId="20497B22" w14:textId="77777777" w:rsidTr="000B2B5D">
        <w:tc>
          <w:tcPr>
            <w:tcW w:w="1668" w:type="dxa"/>
          </w:tcPr>
          <w:p w14:paraId="46F28DE9"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Reglamento</w:t>
            </w:r>
          </w:p>
          <w:p w14:paraId="623B0726"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CNUDMI</w:t>
            </w:r>
          </w:p>
        </w:tc>
        <w:tc>
          <w:tcPr>
            <w:tcW w:w="8008" w:type="dxa"/>
          </w:tcPr>
          <w:p w14:paraId="0D8E1F0A"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El Reglamento de arbitraje de la Comisión de las Naciones Unidas para el Derecho Mercantil Internacional, revisado en 2013</w:t>
            </w:r>
          </w:p>
        </w:tc>
      </w:tr>
      <w:tr w:rsidR="003B3957" w:rsidRPr="001F2CE5" w14:paraId="386B5D5B" w14:textId="77777777" w:rsidTr="000B2B5D">
        <w:tc>
          <w:tcPr>
            <w:tcW w:w="1668" w:type="dxa"/>
          </w:tcPr>
          <w:p w14:paraId="3E05792E"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Réplica</w:t>
            </w:r>
          </w:p>
          <w:p w14:paraId="7306AB88"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(Fondo)</w:t>
            </w:r>
          </w:p>
        </w:tc>
        <w:tc>
          <w:tcPr>
            <w:tcW w:w="8008" w:type="dxa"/>
          </w:tcPr>
          <w:p w14:paraId="61EF67BB"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La Réplica sobre el Fondo de los Demandantes, del 14 de junio de 2019</w:t>
            </w:r>
          </w:p>
        </w:tc>
      </w:tr>
      <w:tr w:rsidR="003B3957" w:rsidRPr="001F2CE5" w14:paraId="1292A7DC" w14:textId="77777777" w:rsidTr="000B2B5D">
        <w:tc>
          <w:tcPr>
            <w:tcW w:w="1668" w:type="dxa"/>
          </w:tcPr>
          <w:p w14:paraId="09E93F88"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Réplica</w:t>
            </w:r>
          </w:p>
          <w:p w14:paraId="54370538"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(Jurisdicción)</w:t>
            </w:r>
          </w:p>
        </w:tc>
        <w:tc>
          <w:tcPr>
            <w:tcW w:w="8008" w:type="dxa"/>
          </w:tcPr>
          <w:p w14:paraId="5DD013C0"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La Réplica sobre Objeciones a la Jurisdicción de la Demandada, del 22 de noviembre de 2019</w:t>
            </w:r>
          </w:p>
        </w:tc>
      </w:tr>
      <w:tr w:rsidR="003B3957" w:rsidRPr="001F2CE5" w14:paraId="66FFEE93" w14:textId="77777777" w:rsidTr="000B2B5D">
        <w:tc>
          <w:tcPr>
            <w:tcW w:w="1668" w:type="dxa"/>
          </w:tcPr>
          <w:p w14:paraId="1F3E671C"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Resolución No. 667/016</w:t>
            </w:r>
          </w:p>
        </w:tc>
        <w:tc>
          <w:tcPr>
            <w:tcW w:w="8008" w:type="dxa"/>
          </w:tcPr>
          <w:p w14:paraId="38065BE3"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Resolución No. 667/016 por la que se declara la caducidad del plazo de 120 días establecido en el artículo 24 c) de la Ley de Minería de Gran Porte, del 4 de octubre de 2016</w:t>
            </w:r>
          </w:p>
        </w:tc>
      </w:tr>
      <w:tr w:rsidR="003B3957" w:rsidRPr="001F2CE5" w14:paraId="41ED2192" w14:textId="77777777" w:rsidTr="000B2B5D">
        <w:tc>
          <w:tcPr>
            <w:tcW w:w="1668" w:type="dxa"/>
          </w:tcPr>
          <w:p w14:paraId="037078D0"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Respuesta a la Notificación de Arbitraje</w:t>
            </w:r>
          </w:p>
        </w:tc>
        <w:tc>
          <w:tcPr>
            <w:tcW w:w="8008" w:type="dxa"/>
          </w:tcPr>
          <w:p w14:paraId="0CD77D43"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La Respuesta de la Demandada a la Notificación de Arbitraje, del 18 de agosto de 2017</w:t>
            </w:r>
          </w:p>
        </w:tc>
      </w:tr>
      <w:tr w:rsidR="003B3957" w:rsidRPr="001F2CE5" w14:paraId="4987577D" w14:textId="77777777" w:rsidTr="000B2B5D">
        <w:tc>
          <w:tcPr>
            <w:tcW w:w="1668" w:type="dxa"/>
          </w:tcPr>
          <w:p w14:paraId="412DBAA7"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Segunda declaración de Agarwal</w:t>
            </w:r>
          </w:p>
        </w:tc>
        <w:tc>
          <w:tcPr>
            <w:tcW w:w="8008" w:type="dxa"/>
          </w:tcPr>
          <w:p w14:paraId="125E5FA1"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Segunda declaración testimonial de Pramod Agarwal, del 13 de junio de 2019</w:t>
            </w:r>
          </w:p>
        </w:tc>
      </w:tr>
      <w:tr w:rsidR="003B3957" w:rsidRPr="001F2CE5" w14:paraId="5A6E17D8" w14:textId="77777777" w:rsidTr="000B2B5D">
        <w:tc>
          <w:tcPr>
            <w:tcW w:w="1668" w:type="dxa"/>
          </w:tcPr>
          <w:p w14:paraId="6834327F"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Segunda declaración de Cardona</w:t>
            </w:r>
          </w:p>
        </w:tc>
        <w:tc>
          <w:tcPr>
            <w:tcW w:w="8008" w:type="dxa"/>
          </w:tcPr>
          <w:p w14:paraId="3582150B"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Segunda declaración testimonial de Fernanda Cardona, del 19 de noviembre de 2019</w:t>
            </w:r>
          </w:p>
        </w:tc>
      </w:tr>
      <w:tr w:rsidR="003B3957" w:rsidRPr="001F2CE5" w14:paraId="30977773" w14:textId="77777777" w:rsidTr="000B2B5D">
        <w:tc>
          <w:tcPr>
            <w:tcW w:w="1668" w:type="dxa"/>
          </w:tcPr>
          <w:p w14:paraId="4C9592EF"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Segundo informe de Green</w:t>
            </w:r>
          </w:p>
        </w:tc>
        <w:tc>
          <w:tcPr>
            <w:tcW w:w="8008" w:type="dxa"/>
          </w:tcPr>
          <w:p w14:paraId="2132B005"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Segundo informe pericial de Brian Green QC, del 3 de enero de 2020</w:t>
            </w:r>
          </w:p>
        </w:tc>
      </w:tr>
      <w:tr w:rsidR="003B3957" w:rsidRPr="001F2CE5" w14:paraId="60B60A9C" w14:textId="77777777" w:rsidTr="000B2B5D">
        <w:tc>
          <w:tcPr>
            <w:tcW w:w="1668" w:type="dxa"/>
          </w:tcPr>
          <w:p w14:paraId="3DCE4321"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Segundo informe de Reisman</w:t>
            </w:r>
          </w:p>
        </w:tc>
        <w:tc>
          <w:tcPr>
            <w:tcW w:w="8008" w:type="dxa"/>
          </w:tcPr>
          <w:p w14:paraId="2CF2265A"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Segundo informe pericial de W. Michael Reisman, del 3 de enero de 2020</w:t>
            </w:r>
          </w:p>
        </w:tc>
      </w:tr>
      <w:tr w:rsidR="003B3957" w:rsidRPr="00C132A4" w14:paraId="1A0D941F" w14:textId="77777777" w:rsidTr="000B2B5D">
        <w:tc>
          <w:tcPr>
            <w:tcW w:w="1668" w:type="dxa"/>
          </w:tcPr>
          <w:p w14:paraId="42C1DA30"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Segundo informe de Reynolds</w:t>
            </w:r>
          </w:p>
        </w:tc>
        <w:tc>
          <w:tcPr>
            <w:tcW w:w="8008" w:type="dxa"/>
          </w:tcPr>
          <w:p w14:paraId="21DC4346"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Segundo informe pericial de Rachael Reynolds, del 12 de noviembre de 2019</w:t>
            </w:r>
          </w:p>
        </w:tc>
      </w:tr>
      <w:tr w:rsidR="003B3957" w:rsidRPr="00C132A4" w14:paraId="686D342E" w14:textId="77777777" w:rsidTr="000B2B5D">
        <w:tc>
          <w:tcPr>
            <w:tcW w:w="1668" w:type="dxa"/>
          </w:tcPr>
          <w:p w14:paraId="15F82BE0"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Sesión 1</w:t>
            </w:r>
          </w:p>
        </w:tc>
        <w:tc>
          <w:tcPr>
            <w:tcW w:w="8008" w:type="dxa"/>
          </w:tcPr>
          <w:p w14:paraId="6CB7F635"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Primera sesión de la audiencia, celebrada en Washington, D.C., del 20 al 31 de enero de 2020</w:t>
            </w:r>
          </w:p>
        </w:tc>
      </w:tr>
      <w:tr w:rsidR="003B3957" w:rsidRPr="00C132A4" w14:paraId="7D9690F7" w14:textId="77777777" w:rsidTr="000B2B5D">
        <w:tc>
          <w:tcPr>
            <w:tcW w:w="1668" w:type="dxa"/>
          </w:tcPr>
          <w:p w14:paraId="4077BC53"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Sesión 2</w:t>
            </w:r>
          </w:p>
        </w:tc>
        <w:tc>
          <w:tcPr>
            <w:tcW w:w="8008" w:type="dxa"/>
          </w:tcPr>
          <w:p w14:paraId="4C80A068"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Segunda sesión de la audiencia, celebrada en Washington, D.C., del 19 al 22 de febrero de 2020</w:t>
            </w:r>
          </w:p>
        </w:tc>
      </w:tr>
      <w:tr w:rsidR="003B3957" w:rsidRPr="00C132A4" w14:paraId="79BCE55A" w14:textId="77777777" w:rsidTr="000B2B5D">
        <w:tc>
          <w:tcPr>
            <w:tcW w:w="1668" w:type="dxa"/>
          </w:tcPr>
          <w:p w14:paraId="1444561C"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 xml:space="preserve">Solicitud ante la </w:t>
            </w:r>
            <w:r w:rsidRPr="00AB7B88">
              <w:rPr>
                <w:rStyle w:val="Bodytext8pt"/>
                <w:b w:val="0"/>
                <w:color w:val="000000"/>
                <w:sz w:val="20"/>
                <w:lang w:eastAsia="es-ES_tradnl"/>
              </w:rPr>
              <w:lastRenderedPageBreak/>
              <w:t>COMAP</w:t>
            </w:r>
          </w:p>
        </w:tc>
        <w:tc>
          <w:tcPr>
            <w:tcW w:w="8008" w:type="dxa"/>
          </w:tcPr>
          <w:p w14:paraId="1CA825C0"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lastRenderedPageBreak/>
              <w:t xml:space="preserve">La solicitud de Minera Aratirí de beneficios fiscales en virtud del Decreto No. 455/007, del 29 </w:t>
            </w:r>
            <w:r w:rsidRPr="00AB7B88">
              <w:rPr>
                <w:rStyle w:val="Bodytext8pt"/>
                <w:b w:val="0"/>
                <w:color w:val="000000"/>
                <w:sz w:val="20"/>
                <w:lang w:val="es-AR" w:eastAsia="es-ES_tradnl"/>
              </w:rPr>
              <w:lastRenderedPageBreak/>
              <w:t>de diciembre de 2011</w:t>
            </w:r>
          </w:p>
        </w:tc>
      </w:tr>
      <w:tr w:rsidR="003B3957" w:rsidRPr="00C132A4" w14:paraId="3D4BA16D" w14:textId="77777777" w:rsidTr="000B2B5D">
        <w:tc>
          <w:tcPr>
            <w:tcW w:w="1668" w:type="dxa"/>
          </w:tcPr>
          <w:p w14:paraId="5EB7AD26"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lastRenderedPageBreak/>
              <w:t>Solicitud de octubre de 2011</w:t>
            </w:r>
          </w:p>
        </w:tc>
        <w:tc>
          <w:tcPr>
            <w:tcW w:w="8008" w:type="dxa"/>
          </w:tcPr>
          <w:p w14:paraId="477A6398"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Solicitud de Minera Aratirí para la consideración unificada de las áreas comprendidas por el Proyecto Valentines, del 3 de octubre de 2011</w:t>
            </w:r>
          </w:p>
        </w:tc>
      </w:tr>
      <w:tr w:rsidR="003B3957" w:rsidRPr="00C132A4" w14:paraId="3C13153D" w14:textId="77777777" w:rsidTr="000B2B5D">
        <w:tc>
          <w:tcPr>
            <w:tcW w:w="1668" w:type="dxa"/>
          </w:tcPr>
          <w:p w14:paraId="197C98F5"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Solicitudes Parciales para Explotar</w:t>
            </w:r>
          </w:p>
        </w:tc>
        <w:tc>
          <w:tcPr>
            <w:tcW w:w="8008" w:type="dxa"/>
          </w:tcPr>
          <w:p w14:paraId="5C04B7FC"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Las 16 solicitudes para concesiones de explotación minera presentadas por Minera Aratirí y sus filiales entre junio de 2010 y octubre de 2012</w:t>
            </w:r>
          </w:p>
        </w:tc>
      </w:tr>
      <w:tr w:rsidR="003B3957" w:rsidRPr="00C132A4" w14:paraId="20ADE505" w14:textId="77777777" w:rsidTr="000B2B5D">
        <w:tc>
          <w:tcPr>
            <w:tcW w:w="1668" w:type="dxa"/>
          </w:tcPr>
          <w:p w14:paraId="4322A512"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TBI</w:t>
            </w:r>
          </w:p>
        </w:tc>
        <w:tc>
          <w:tcPr>
            <w:tcW w:w="8008" w:type="dxa"/>
          </w:tcPr>
          <w:p w14:paraId="23236A33"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2"/>
                <w:rFonts w:ascii="Times New Roman" w:hAnsi="Times New Roman"/>
                <w:b w:val="0"/>
                <w:color w:val="000000"/>
                <w:sz w:val="20"/>
                <w:u w:val="single"/>
                <w:lang w:val="es-AR" w:eastAsia="es-ES_tradnl"/>
              </w:rPr>
              <w:t>Convenio entre el Gobierno del Reino Unido de Gran Bretaña e Irlanda del Norte y el Gobierno de</w:t>
            </w:r>
            <w:r w:rsidR="00175ADE" w:rsidRPr="00AB7B88">
              <w:rPr>
                <w:rStyle w:val="Bodytext8pt2"/>
                <w:rFonts w:ascii="Times New Roman" w:hAnsi="Times New Roman"/>
                <w:b w:val="0"/>
                <w:color w:val="000000"/>
                <w:sz w:val="20"/>
                <w:u w:val="single"/>
                <w:lang w:val="es-AR" w:eastAsia="es-ES_tradnl"/>
              </w:rPr>
              <w:t xml:space="preserve"> la República Oriental del Uruguay sobre el Fomento y la Protección de Inversiones de Capital</w:t>
            </w:r>
            <w:r w:rsidR="00175ADE" w:rsidRPr="00AB7B88">
              <w:rPr>
                <w:rStyle w:val="Bodytext8pt"/>
                <w:b w:val="0"/>
                <w:color w:val="000000"/>
                <w:sz w:val="20"/>
                <w:lang w:val="es-AR" w:eastAsia="es-ES_tradnl"/>
              </w:rPr>
              <w:t>, firmado el 21 de octubre de 1991 y puesto en vigor el 1 de agosto de 1997</w:t>
            </w:r>
          </w:p>
        </w:tc>
      </w:tr>
      <w:tr w:rsidR="003B3957" w:rsidRPr="00C132A4" w14:paraId="67F55BC1" w14:textId="77777777" w:rsidTr="000B2B5D">
        <w:tc>
          <w:tcPr>
            <w:tcW w:w="1668" w:type="dxa"/>
          </w:tcPr>
          <w:p w14:paraId="4A37B706"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Terminal</w:t>
            </w:r>
          </w:p>
          <w:p w14:paraId="56754296"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Portuaria</w:t>
            </w:r>
          </w:p>
        </w:tc>
        <w:tc>
          <w:tcPr>
            <w:tcW w:w="8008" w:type="dxa"/>
          </w:tcPr>
          <w:p w14:paraId="6B88536D"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La terminal portuaria especializada que se construiría en la zona costera de Uruguay como parte de la infraestructura para el Proyecto Valentines, desde la cual se exportaría mineral de hierro a los clientes de Minera Aratirí</w:t>
            </w:r>
          </w:p>
        </w:tc>
      </w:tr>
      <w:tr w:rsidR="003B3957" w:rsidRPr="00C132A4" w14:paraId="4E867DF7" w14:textId="77777777" w:rsidTr="000B2B5D">
        <w:tc>
          <w:tcPr>
            <w:tcW w:w="1668" w:type="dxa"/>
          </w:tcPr>
          <w:p w14:paraId="4ACDEF54"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TLCAN</w:t>
            </w:r>
          </w:p>
        </w:tc>
        <w:tc>
          <w:tcPr>
            <w:tcW w:w="8008" w:type="dxa"/>
          </w:tcPr>
          <w:p w14:paraId="596338CA"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Tratado de Libre Comercio de América del Norte</w:t>
            </w:r>
          </w:p>
        </w:tc>
      </w:tr>
      <w:tr w:rsidR="003B3957" w:rsidRPr="00AB7B88" w14:paraId="04C149F7" w14:textId="77777777" w:rsidTr="000B2B5D">
        <w:tc>
          <w:tcPr>
            <w:tcW w:w="1668" w:type="dxa"/>
          </w:tcPr>
          <w:p w14:paraId="189B4BBE"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1"/>
                <w:rFonts w:ascii="Times New Roman" w:hAnsi="Times New Roman"/>
                <w:b w:val="0"/>
                <w:color w:val="000000"/>
                <w:sz w:val="20"/>
                <w:lang w:eastAsia="es-ES_tradnl"/>
              </w:rPr>
              <w:t>Trust</w:t>
            </w:r>
          </w:p>
        </w:tc>
        <w:tc>
          <w:tcPr>
            <w:tcW w:w="8008" w:type="dxa"/>
          </w:tcPr>
          <w:p w14:paraId="18B577CA"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1"/>
                <w:rFonts w:ascii="Times New Roman" w:hAnsi="Times New Roman"/>
                <w:b w:val="0"/>
                <w:color w:val="000000"/>
                <w:sz w:val="20"/>
                <w:lang w:eastAsia="es-ES_tradnl"/>
              </w:rPr>
              <w:t>Trust</w:t>
            </w:r>
            <w:r w:rsidRPr="00AB7B88">
              <w:rPr>
                <w:rStyle w:val="Bodytext8pt"/>
                <w:b w:val="0"/>
                <w:color w:val="000000"/>
                <w:sz w:val="20"/>
                <w:lang w:eastAsia="es-ES_tradnl"/>
              </w:rPr>
              <w:t xml:space="preserve"> P. Devi</w:t>
            </w:r>
          </w:p>
        </w:tc>
      </w:tr>
      <w:tr w:rsidR="00645D29" w:rsidRPr="00AB7B88" w14:paraId="39BB8AB7" w14:textId="77777777" w:rsidTr="000B2B5D">
        <w:tc>
          <w:tcPr>
            <w:tcW w:w="1668" w:type="dxa"/>
          </w:tcPr>
          <w:p w14:paraId="063F4A72" w14:textId="77777777" w:rsidR="00645D29" w:rsidRPr="00AB7B88" w:rsidRDefault="00645D29" w:rsidP="000B2B5D">
            <w:pPr>
              <w:pStyle w:val="Bodytext1"/>
              <w:shd w:val="clear" w:color="auto" w:fill="auto"/>
              <w:spacing w:before="40" w:after="40" w:line="360" w:lineRule="auto"/>
              <w:ind w:left="40" w:right="40" w:firstLine="0"/>
              <w:rPr>
                <w:rStyle w:val="Bodytext8pt1"/>
                <w:rFonts w:ascii="Times New Roman" w:hAnsi="Times New Roman"/>
                <w:b w:val="0"/>
                <w:i w:val="0"/>
                <w:sz w:val="20"/>
              </w:rPr>
            </w:pPr>
            <w:r w:rsidRPr="00AB7B88">
              <w:rPr>
                <w:rStyle w:val="Bodytext8pt1"/>
                <w:rFonts w:ascii="Times New Roman" w:hAnsi="Times New Roman"/>
                <w:b w:val="0"/>
                <w:i w:val="0"/>
                <w:color w:val="000000"/>
                <w:sz w:val="20"/>
                <w:lang w:eastAsia="es-ES_tradnl"/>
              </w:rPr>
              <w:t>Zamin</w:t>
            </w:r>
          </w:p>
        </w:tc>
        <w:tc>
          <w:tcPr>
            <w:tcW w:w="8008" w:type="dxa"/>
          </w:tcPr>
          <w:p w14:paraId="4517B65B" w14:textId="77777777" w:rsidR="00645D29" w:rsidRPr="00AB7B88" w:rsidRDefault="00645D29" w:rsidP="000B2B5D">
            <w:pPr>
              <w:pStyle w:val="Bodytext1"/>
              <w:shd w:val="clear" w:color="auto" w:fill="auto"/>
              <w:spacing w:before="40" w:after="40" w:line="360" w:lineRule="auto"/>
              <w:ind w:left="40" w:right="40" w:firstLine="0"/>
              <w:rPr>
                <w:rStyle w:val="Bodytext8pt1"/>
                <w:rFonts w:ascii="Times New Roman" w:hAnsi="Times New Roman"/>
                <w:b w:val="0"/>
                <w:i w:val="0"/>
                <w:sz w:val="20"/>
              </w:rPr>
            </w:pPr>
            <w:r w:rsidRPr="00AB7B88">
              <w:rPr>
                <w:rStyle w:val="Bodytext8pt1"/>
                <w:rFonts w:ascii="Times New Roman" w:hAnsi="Times New Roman"/>
                <w:b w:val="0"/>
                <w:i w:val="0"/>
                <w:color w:val="000000"/>
                <w:sz w:val="20"/>
                <w:lang w:eastAsia="es-ES_tradnl"/>
              </w:rPr>
              <w:t>Zamin Ferrous Limited</w:t>
            </w:r>
          </w:p>
        </w:tc>
      </w:tr>
      <w:tr w:rsidR="003B3957" w:rsidRPr="00C132A4" w14:paraId="3309465F" w14:textId="77777777" w:rsidTr="000B2B5D">
        <w:tc>
          <w:tcPr>
            <w:tcW w:w="1668" w:type="dxa"/>
          </w:tcPr>
          <w:p w14:paraId="6AC55729"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Abadi, Félix</w:t>
            </w:r>
          </w:p>
        </w:tc>
        <w:tc>
          <w:tcPr>
            <w:tcW w:w="8008" w:type="dxa"/>
          </w:tcPr>
          <w:p w14:paraId="2FADA114"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Profesor de Impuestos de la Facultad de Administración y Ciencias Sociales de la Universidad ORT Uruguay Presentó, junto con el profesor Andrés Blanco, dos informes periciales en el presente arbitraje (RER-6 y RER-14)</w:t>
            </w:r>
          </w:p>
        </w:tc>
      </w:tr>
      <w:tr w:rsidR="003B3957" w:rsidRPr="00C132A4" w14:paraId="2848378C" w14:textId="77777777" w:rsidTr="000B2B5D">
        <w:tc>
          <w:tcPr>
            <w:tcW w:w="1668" w:type="dxa"/>
          </w:tcPr>
          <w:p w14:paraId="05DD76A5"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Abdala, Manuel A.</w:t>
            </w:r>
          </w:p>
        </w:tc>
        <w:tc>
          <w:tcPr>
            <w:tcW w:w="8008" w:type="dxa"/>
          </w:tcPr>
          <w:p w14:paraId="1C1D3A09"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Vicepresidente ejecutivo de Compass Lexecon. Presentó, junto con el Sr. Pablo D. López Zadicoff, dos informes periciales en el presente arbitraje (CER-2 y CER-5).</w:t>
            </w:r>
          </w:p>
        </w:tc>
      </w:tr>
      <w:tr w:rsidR="003B3957" w:rsidRPr="00C132A4" w14:paraId="06B3C073" w14:textId="77777777" w:rsidTr="000B2B5D">
        <w:tc>
          <w:tcPr>
            <w:tcW w:w="1668" w:type="dxa"/>
          </w:tcPr>
          <w:p w14:paraId="7587CC40"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Agarwal, Bina</w:t>
            </w:r>
          </w:p>
        </w:tc>
        <w:tc>
          <w:tcPr>
            <w:tcW w:w="8008" w:type="dxa"/>
          </w:tcPr>
          <w:p w14:paraId="75B39DA5"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 xml:space="preserve">Esposa del Sr. Pramod Agarwal y madre de los Demandantes. Desde el 4 de julio de 2011, integra junto con su esposo el Comité Protector del </w:t>
            </w:r>
            <w:r w:rsidRPr="00AB7B88">
              <w:rPr>
                <w:rStyle w:val="Bodytext8pt1"/>
                <w:rFonts w:ascii="Times New Roman" w:hAnsi="Times New Roman"/>
                <w:b w:val="0"/>
                <w:color w:val="000000"/>
                <w:sz w:val="20"/>
                <w:lang w:val="es-AR" w:eastAsia="es-ES_tradnl"/>
              </w:rPr>
              <w:t>Trust</w:t>
            </w:r>
            <w:r w:rsidRPr="00AB7B88">
              <w:rPr>
                <w:rStyle w:val="Bodytext8pt"/>
                <w:b w:val="0"/>
                <w:color w:val="000000"/>
                <w:sz w:val="20"/>
                <w:lang w:val="es-AR" w:eastAsia="es-ES_tradnl"/>
              </w:rPr>
              <w:t xml:space="preserve"> P. Devi. También son los Protectores del </w:t>
            </w:r>
            <w:r w:rsidRPr="00AB7B88">
              <w:rPr>
                <w:rStyle w:val="Bodytext8pt1"/>
                <w:rFonts w:ascii="Times New Roman" w:hAnsi="Times New Roman"/>
                <w:b w:val="0"/>
                <w:color w:val="000000"/>
                <w:sz w:val="20"/>
                <w:lang w:val="es-AR" w:eastAsia="es-ES_tradnl"/>
              </w:rPr>
              <w:t xml:space="preserve">Trust </w:t>
            </w:r>
            <w:r w:rsidRPr="00AB7B88">
              <w:rPr>
                <w:rStyle w:val="Bodytext8pt"/>
                <w:b w:val="0"/>
                <w:color w:val="000000"/>
                <w:sz w:val="20"/>
                <w:lang w:val="es-AR" w:eastAsia="es-ES_tradnl"/>
              </w:rPr>
              <w:t>Sunder Devi, que a su vez es titular de Miari PTC Ltd.</w:t>
            </w:r>
          </w:p>
        </w:tc>
      </w:tr>
      <w:tr w:rsidR="003B3957" w:rsidRPr="00C132A4" w14:paraId="706889D2" w14:textId="77777777" w:rsidTr="000B2B5D">
        <w:tc>
          <w:tcPr>
            <w:tcW w:w="1668" w:type="dxa"/>
          </w:tcPr>
          <w:p w14:paraId="38EAB8D8"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Agarwal,</w:t>
            </w:r>
          </w:p>
          <w:p w14:paraId="1FC211BC"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Pramod</w:t>
            </w:r>
          </w:p>
        </w:tc>
        <w:tc>
          <w:tcPr>
            <w:tcW w:w="8008" w:type="dxa"/>
          </w:tcPr>
          <w:p w14:paraId="732F15E9"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 xml:space="preserve">Fundador de Zamin, empresa matriz de Minera Aratirí. Es nacional indio y padre de los Demandantes. Desde el 4 de julio de 2011, integra junto con su esposa el Comité Protector del </w:t>
            </w:r>
            <w:r w:rsidRPr="00AB7B88">
              <w:rPr>
                <w:rStyle w:val="Bodytext8pt1"/>
                <w:rFonts w:ascii="Times New Roman" w:hAnsi="Times New Roman"/>
                <w:b w:val="0"/>
                <w:color w:val="000000"/>
                <w:sz w:val="20"/>
                <w:lang w:val="es-AR" w:eastAsia="es-ES_tradnl"/>
              </w:rPr>
              <w:t>Trust</w:t>
            </w:r>
            <w:r w:rsidRPr="00AB7B88">
              <w:rPr>
                <w:rStyle w:val="Bodytext8pt"/>
                <w:b w:val="0"/>
                <w:color w:val="000000"/>
                <w:sz w:val="20"/>
                <w:lang w:val="es-AR" w:eastAsia="es-ES_tradnl"/>
              </w:rPr>
              <w:t xml:space="preserve"> P. Devi. También son los Protectores del </w:t>
            </w:r>
            <w:r w:rsidRPr="00AB7B88">
              <w:rPr>
                <w:rStyle w:val="Bodytext8pt1"/>
                <w:rFonts w:ascii="Times New Roman" w:hAnsi="Times New Roman"/>
                <w:b w:val="0"/>
                <w:color w:val="000000"/>
                <w:sz w:val="20"/>
                <w:lang w:val="es-AR" w:eastAsia="es-ES_tradnl"/>
              </w:rPr>
              <w:t>Trust</w:t>
            </w:r>
            <w:r w:rsidRPr="00AB7B88">
              <w:rPr>
                <w:rStyle w:val="Bodytext8pt"/>
                <w:b w:val="0"/>
                <w:color w:val="000000"/>
                <w:sz w:val="20"/>
                <w:lang w:val="es-AR" w:eastAsia="es-ES_tradnl"/>
              </w:rPr>
              <w:t xml:space="preserve"> Sunder Devi, que a su vez es titular de Miari PTC Ltd. Presento dos declaraciones testimoniales en el presente arbitraje (CWS-1 y CWS-9).</w:t>
            </w:r>
          </w:p>
        </w:tc>
      </w:tr>
      <w:tr w:rsidR="003B3957" w:rsidRPr="00C132A4" w14:paraId="70E55CA7" w14:textId="77777777" w:rsidTr="000B2B5D">
        <w:tc>
          <w:tcPr>
            <w:tcW w:w="1668" w:type="dxa"/>
          </w:tcPr>
          <w:p w14:paraId="757C38FE"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Agarwal,</w:t>
            </w:r>
          </w:p>
          <w:p w14:paraId="39A36448"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Prenay</w:t>
            </w:r>
          </w:p>
        </w:tc>
        <w:tc>
          <w:tcPr>
            <w:tcW w:w="8008" w:type="dxa"/>
          </w:tcPr>
          <w:p w14:paraId="4C4AE94F"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Nacional del Reino Unido de Gran Bretaña e Irlanda del Norte y uno de los Demandantes en el presente arbitraje.</w:t>
            </w:r>
          </w:p>
        </w:tc>
      </w:tr>
      <w:tr w:rsidR="003B3957" w:rsidRPr="00C132A4" w14:paraId="5B30004E" w14:textId="77777777" w:rsidTr="000B2B5D">
        <w:tc>
          <w:tcPr>
            <w:tcW w:w="1668" w:type="dxa"/>
          </w:tcPr>
          <w:p w14:paraId="2A207485"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Agarwal,</w:t>
            </w:r>
          </w:p>
          <w:p w14:paraId="3A22E3EA"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Vinita</w:t>
            </w:r>
          </w:p>
        </w:tc>
        <w:tc>
          <w:tcPr>
            <w:tcW w:w="8008" w:type="dxa"/>
          </w:tcPr>
          <w:p w14:paraId="678E5A6D"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Ciudadana del Reino Unido de Gran Bretaña e Irlanda del Norte y una de los Demandantes en el presente arbitraje.</w:t>
            </w:r>
          </w:p>
        </w:tc>
      </w:tr>
      <w:tr w:rsidR="003B3957" w:rsidRPr="00AB7B88" w14:paraId="645D3653" w14:textId="77777777" w:rsidTr="000B2B5D">
        <w:tc>
          <w:tcPr>
            <w:tcW w:w="1668" w:type="dxa"/>
          </w:tcPr>
          <w:p w14:paraId="5B88A213"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lastRenderedPageBreak/>
              <w:t>Alfie, Isaac</w:t>
            </w:r>
          </w:p>
        </w:tc>
        <w:tc>
          <w:tcPr>
            <w:tcW w:w="8008" w:type="dxa"/>
          </w:tcPr>
          <w:p w14:paraId="23BEA8C4"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val="es-AR" w:eastAsia="es-ES_tradnl"/>
              </w:rPr>
              <w:t xml:space="preserve">Profesor de Economía y Finanzas Públicas de la Universidad de Montevideo. </w:t>
            </w:r>
            <w:r w:rsidRPr="00AB7B88">
              <w:rPr>
                <w:rStyle w:val="Bodytext8pt"/>
                <w:b w:val="0"/>
                <w:color w:val="000000"/>
                <w:sz w:val="20"/>
                <w:lang w:eastAsia="es-ES_tradnl"/>
              </w:rPr>
              <w:t>Presentó un dictamen pericial en el presente arbitraje (CER-10).</w:t>
            </w:r>
          </w:p>
        </w:tc>
      </w:tr>
      <w:tr w:rsidR="003B3957" w:rsidRPr="00C132A4" w14:paraId="10A987EA" w14:textId="77777777" w:rsidTr="000B2B5D">
        <w:tc>
          <w:tcPr>
            <w:tcW w:w="1668" w:type="dxa"/>
          </w:tcPr>
          <w:p w14:paraId="66FA0729"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Beddows,</w:t>
            </w:r>
          </w:p>
          <w:p w14:paraId="20F19726"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Rodney</w:t>
            </w:r>
          </w:p>
        </w:tc>
        <w:tc>
          <w:tcPr>
            <w:tcW w:w="8008" w:type="dxa"/>
          </w:tcPr>
          <w:p w14:paraId="6F404BD1"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Profesional independiente; presidente de Zincox Resources. Presentó un informe pericial en el presente arbitraje (CER-7).</w:t>
            </w:r>
          </w:p>
        </w:tc>
      </w:tr>
      <w:tr w:rsidR="003B3957" w:rsidRPr="00C132A4" w14:paraId="11809742" w14:textId="77777777" w:rsidTr="000B2B5D">
        <w:tc>
          <w:tcPr>
            <w:tcW w:w="1668" w:type="dxa"/>
          </w:tcPr>
          <w:p w14:paraId="52CFE091"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Blanco,</w:t>
            </w:r>
          </w:p>
          <w:p w14:paraId="0BE6FC3C"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Andrés</w:t>
            </w:r>
          </w:p>
        </w:tc>
        <w:tc>
          <w:tcPr>
            <w:tcW w:w="8008" w:type="dxa"/>
          </w:tcPr>
          <w:p w14:paraId="3767504E"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Profesor de Finanzas Públicas de la Facultad de Derecho de la Universidad de la República. Presentó, junto con el profesor Félix Abadi, dos informes periciales en el presente arbitraje (RER-6 y RER-14).</w:t>
            </w:r>
          </w:p>
        </w:tc>
      </w:tr>
      <w:tr w:rsidR="003B3957" w:rsidRPr="00C132A4" w14:paraId="39F9790C" w14:textId="77777777" w:rsidTr="000B2B5D">
        <w:tc>
          <w:tcPr>
            <w:tcW w:w="1668" w:type="dxa"/>
          </w:tcPr>
          <w:p w14:paraId="0D376711"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Breccia,</w:t>
            </w:r>
          </w:p>
          <w:p w14:paraId="2179B179"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Alberto</w:t>
            </w:r>
          </w:p>
        </w:tc>
        <w:tc>
          <w:tcPr>
            <w:tcW w:w="8008" w:type="dxa"/>
          </w:tcPr>
          <w:p w14:paraId="549A2E92"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Secretario de la Presidencia de la República Oriental del Uruguay durante el gobierno de Mujica.</w:t>
            </w:r>
          </w:p>
        </w:tc>
      </w:tr>
      <w:tr w:rsidR="003B3957" w:rsidRPr="00C132A4" w14:paraId="487FB09C" w14:textId="77777777" w:rsidTr="000B2B5D">
        <w:tc>
          <w:tcPr>
            <w:tcW w:w="1668" w:type="dxa"/>
          </w:tcPr>
          <w:p w14:paraId="32A58B51"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Campal,</w:t>
            </w:r>
          </w:p>
          <w:p w14:paraId="13DE609F"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Néstor</w:t>
            </w:r>
          </w:p>
        </w:tc>
        <w:tc>
          <w:tcPr>
            <w:tcW w:w="8008" w:type="dxa"/>
          </w:tcPr>
          <w:p w14:paraId="552D5E18"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Director de D1NAMIGE desde el 6 de mavo de 2016. Presentó dos declaraciones testimoniales en el presente arbitraje (RWS-8 y RWS-16).</w:t>
            </w:r>
          </w:p>
        </w:tc>
      </w:tr>
      <w:tr w:rsidR="003B3957" w:rsidRPr="00C132A4" w14:paraId="37EF71E4" w14:textId="77777777" w:rsidTr="000B2B5D">
        <w:tc>
          <w:tcPr>
            <w:tcW w:w="1668" w:type="dxa"/>
          </w:tcPr>
          <w:p w14:paraId="65A72E1B"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Cardona,</w:t>
            </w:r>
          </w:p>
          <w:p w14:paraId="59A0AF0E"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Fernanda</w:t>
            </w:r>
          </w:p>
        </w:tc>
        <w:tc>
          <w:tcPr>
            <w:tcW w:w="8008" w:type="dxa"/>
          </w:tcPr>
          <w:p w14:paraId="04687F7C"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Directora General de la Secretaría del M1EM, a partir del 1 de marzo de 2015. Presentó dos declaraciones testimoniales en el presente arbitraje (RWS-2 y RWS-10).</w:t>
            </w:r>
          </w:p>
        </w:tc>
      </w:tr>
      <w:tr w:rsidR="003B3957" w:rsidRPr="00C132A4" w14:paraId="79A3A699" w14:textId="77777777" w:rsidTr="000B2B5D">
        <w:tc>
          <w:tcPr>
            <w:tcW w:w="1668" w:type="dxa"/>
          </w:tcPr>
          <w:p w14:paraId="77F11A5B"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Castro, Alicia</w:t>
            </w:r>
          </w:p>
        </w:tc>
        <w:tc>
          <w:tcPr>
            <w:tcW w:w="8008" w:type="dxa"/>
          </w:tcPr>
          <w:p w14:paraId="778D0FCA"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Magistrado del Poder Judicial (1989-2018). Presentó dos informes periciales en el presente arbitraje (CER-11 y CER-15).</w:t>
            </w:r>
          </w:p>
        </w:tc>
      </w:tr>
      <w:tr w:rsidR="003B3957" w:rsidRPr="00C132A4" w14:paraId="76CB2CD7" w14:textId="77777777" w:rsidTr="000B2B5D">
        <w:tc>
          <w:tcPr>
            <w:tcW w:w="1668" w:type="dxa"/>
          </w:tcPr>
          <w:p w14:paraId="163B4348"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Chulepin,</w:t>
            </w:r>
          </w:p>
          <w:p w14:paraId="7A90D2D5"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Helga</w:t>
            </w:r>
          </w:p>
        </w:tc>
        <w:tc>
          <w:tcPr>
            <w:tcW w:w="8008" w:type="dxa"/>
          </w:tcPr>
          <w:p w14:paraId="20F51FA1"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Gerente superior del Grupo Zamin en Uruguay. Antiguamente fue Gerente de Logística y Permisos de Minera Aratirí. Presentó dos declaraciones testimoniales en el presente arbitraje (CWS-3 y CWS-10).</w:t>
            </w:r>
          </w:p>
        </w:tc>
      </w:tr>
      <w:tr w:rsidR="003B3957" w:rsidRPr="00C132A4" w14:paraId="16BBE174" w14:textId="77777777" w:rsidTr="000B2B5D">
        <w:tc>
          <w:tcPr>
            <w:tcW w:w="1668" w:type="dxa"/>
          </w:tcPr>
          <w:p w14:paraId="6B842DA3"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Clow, Graham G.</w:t>
            </w:r>
          </w:p>
        </w:tc>
        <w:tc>
          <w:tcPr>
            <w:tcW w:w="8008" w:type="dxa"/>
          </w:tcPr>
          <w:p w14:paraId="48D7B808"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Ingeniero profesional; Ingeniero Minero Principal y presidente del Directorio de RPA. Presentó, junto con el Sr. Richard J. Lambert, un informe pericial en el presente arbitraje CER-6).</w:t>
            </w:r>
          </w:p>
        </w:tc>
      </w:tr>
      <w:tr w:rsidR="003B3957" w:rsidRPr="00C132A4" w14:paraId="047DE366" w14:textId="77777777" w:rsidTr="000B2B5D">
        <w:tc>
          <w:tcPr>
            <w:tcW w:w="1668" w:type="dxa"/>
          </w:tcPr>
          <w:p w14:paraId="40C4CAC0"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Cosse,</w:t>
            </w:r>
          </w:p>
          <w:p w14:paraId="58A2F6A6"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Carolina</w:t>
            </w:r>
          </w:p>
        </w:tc>
        <w:tc>
          <w:tcPr>
            <w:tcW w:w="8008" w:type="dxa"/>
          </w:tcPr>
          <w:p w14:paraId="7EDD2268"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Ministra de Industria, Energía y Minería desde marzo de 2015.</w:t>
            </w:r>
          </w:p>
        </w:tc>
      </w:tr>
      <w:tr w:rsidR="003B3957" w:rsidRPr="00C132A4" w14:paraId="3DF85976" w14:textId="77777777" w:rsidTr="000B2B5D">
        <w:tc>
          <w:tcPr>
            <w:tcW w:w="1668" w:type="dxa"/>
          </w:tcPr>
          <w:p w14:paraId="6C897E05"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Delpiazzo,</w:t>
            </w:r>
          </w:p>
          <w:p w14:paraId="71B467F8"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Carlos</w:t>
            </w:r>
          </w:p>
        </w:tc>
        <w:tc>
          <w:tcPr>
            <w:tcW w:w="8008" w:type="dxa"/>
          </w:tcPr>
          <w:p w14:paraId="31059380"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Profesor de Derecho Administrativo en la Universidad de Montevideo y antiguo director del Instituto Uruguayo de Derecho Administrativo (entre 2009 y 2013). Fue contratado por Minera Aratirí para opinar sobre la postura del Gobierno respecto de la interpretación, en 2014, de la Ley de Minería de Gran Porte.</w:t>
            </w:r>
          </w:p>
        </w:tc>
      </w:tr>
      <w:tr w:rsidR="003B3957" w:rsidRPr="00C132A4" w14:paraId="38ACE52B" w14:textId="77777777" w:rsidTr="000B2B5D">
        <w:tc>
          <w:tcPr>
            <w:tcW w:w="1668" w:type="dxa"/>
          </w:tcPr>
          <w:p w14:paraId="7B8CD40A" w14:textId="77777777" w:rsidR="003B3957" w:rsidRPr="00AB7B88" w:rsidRDefault="003B3957" w:rsidP="000B2B5D">
            <w:pPr>
              <w:spacing w:before="40" w:after="40" w:line="360" w:lineRule="auto"/>
              <w:ind w:left="40" w:right="40"/>
              <w:rPr>
                <w:rFonts w:ascii="Times New Roman" w:hAnsi="Times New Roman"/>
                <w:sz w:val="20"/>
                <w:szCs w:val="10"/>
                <w:lang w:val="es-AR" w:eastAsia="es-US"/>
              </w:rPr>
            </w:pPr>
          </w:p>
        </w:tc>
        <w:tc>
          <w:tcPr>
            <w:tcW w:w="8008" w:type="dxa"/>
          </w:tcPr>
          <w:p w14:paraId="64AF6B1B" w14:textId="77777777" w:rsidR="003B3957" w:rsidRPr="00AB7B88" w:rsidRDefault="003B3957" w:rsidP="000B2B5D">
            <w:pPr>
              <w:pStyle w:val="Bodytext1"/>
              <w:shd w:val="clear" w:color="auto" w:fill="auto"/>
              <w:spacing w:before="40" w:after="40" w:line="360" w:lineRule="auto"/>
              <w:ind w:left="40" w:right="40" w:firstLine="0"/>
              <w:rPr>
                <w:sz w:val="20"/>
                <w:lang w:val="es-AR"/>
              </w:rPr>
            </w:pPr>
            <w:r w:rsidRPr="00AB7B88">
              <w:rPr>
                <w:rStyle w:val="Bodytext8pt"/>
                <w:b w:val="0"/>
                <w:color w:val="000000"/>
                <w:sz w:val="20"/>
                <w:lang w:val="es-AR" w:eastAsia="es-ES_tradnl"/>
              </w:rPr>
              <w:t>Presentó tres informes periciales en el presente arbitraje (CER-1, CER-9 y CER-16).</w:t>
            </w:r>
          </w:p>
        </w:tc>
      </w:tr>
      <w:tr w:rsidR="003B3957" w:rsidRPr="00C132A4" w14:paraId="41E95814" w14:textId="77777777" w:rsidTr="000B2B5D">
        <w:tc>
          <w:tcPr>
            <w:tcW w:w="1668" w:type="dxa"/>
          </w:tcPr>
          <w:p w14:paraId="5BE06DD9"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Durán</w:t>
            </w:r>
          </w:p>
          <w:p w14:paraId="4BE305C2"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Martínez,</w:t>
            </w:r>
          </w:p>
          <w:p w14:paraId="5F60BAD7"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Augusto</w:t>
            </w:r>
          </w:p>
        </w:tc>
        <w:tc>
          <w:tcPr>
            <w:tcW w:w="8008" w:type="dxa"/>
          </w:tcPr>
          <w:p w14:paraId="1CECC25E"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Profesor de Derecho Administrativo de la Universidad de la República. Presentó dos informes periciales en el presente arbitraje (RER-5 y RER-13).</w:t>
            </w:r>
          </w:p>
        </w:tc>
      </w:tr>
      <w:tr w:rsidR="003B3957" w:rsidRPr="00C132A4" w14:paraId="1DD21515" w14:textId="77777777" w:rsidTr="000B2B5D">
        <w:tc>
          <w:tcPr>
            <w:tcW w:w="1668" w:type="dxa"/>
          </w:tcPr>
          <w:p w14:paraId="2FE4DF7E"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Fernández Reyes, Jorge</w:t>
            </w:r>
          </w:p>
        </w:tc>
        <w:tc>
          <w:tcPr>
            <w:tcW w:w="8008" w:type="dxa"/>
          </w:tcPr>
          <w:p w14:paraId="7A5EB1A6"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Profesor de Derecho Agrario de la Universidad de la República. Presentó dos informes periciales en el presente arbitraje (RER-3 y RER-11).</w:t>
            </w:r>
          </w:p>
        </w:tc>
      </w:tr>
      <w:tr w:rsidR="003B3957" w:rsidRPr="00C132A4" w14:paraId="7413F6ED" w14:textId="77777777" w:rsidTr="000B2B5D">
        <w:tc>
          <w:tcPr>
            <w:tcW w:w="1668" w:type="dxa"/>
          </w:tcPr>
          <w:p w14:paraId="1F7F9023"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lastRenderedPageBreak/>
              <w:t>Flores, Daniel</w:t>
            </w:r>
          </w:p>
        </w:tc>
        <w:tc>
          <w:tcPr>
            <w:tcW w:w="8008" w:type="dxa"/>
          </w:tcPr>
          <w:p w14:paraId="7BC94975"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Director Gerente de Quadrant Economics LLC. Presentó dos informes periciales en el presente arbitraje (RER-8 y RER-16).</w:t>
            </w:r>
          </w:p>
        </w:tc>
      </w:tr>
      <w:tr w:rsidR="003B3957" w:rsidRPr="00C132A4" w14:paraId="111FF442" w14:textId="77777777" w:rsidTr="000B2B5D">
        <w:tc>
          <w:tcPr>
            <w:tcW w:w="1668" w:type="dxa"/>
          </w:tcPr>
          <w:p w14:paraId="3CF4D1D1"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Genta, Pablo</w:t>
            </w:r>
          </w:p>
        </w:tc>
        <w:tc>
          <w:tcPr>
            <w:tcW w:w="8008" w:type="dxa"/>
          </w:tcPr>
          <w:p w14:paraId="1722122D"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Director Nacional de Planificación y Logística del Ministerio de Transporte y Obras Públicas a partir de 2015 Presentó dos declaraciones testimoniales en el presente arbitraje (RWS-5 y RWS-13).</w:t>
            </w:r>
          </w:p>
        </w:tc>
      </w:tr>
      <w:tr w:rsidR="003B3957" w:rsidRPr="00C132A4" w14:paraId="4E575A3E" w14:textId="77777777" w:rsidTr="000B2B5D">
        <w:tc>
          <w:tcPr>
            <w:tcW w:w="1668" w:type="dxa"/>
          </w:tcPr>
          <w:p w14:paraId="11EA4C64"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Green Q.C., Brian</w:t>
            </w:r>
          </w:p>
        </w:tc>
        <w:tc>
          <w:tcPr>
            <w:tcW w:w="8008" w:type="dxa"/>
          </w:tcPr>
          <w:p w14:paraId="64814595"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 xml:space="preserve">En su ejercicio profesional es especialista en </w:t>
            </w:r>
            <w:r w:rsidRPr="00AB7B88">
              <w:rPr>
                <w:rStyle w:val="Bodytext8pt1"/>
                <w:rFonts w:ascii="Times New Roman" w:hAnsi="Times New Roman"/>
                <w:b w:val="0"/>
                <w:color w:val="000000"/>
                <w:sz w:val="20"/>
                <w:lang w:val="es-AR" w:eastAsia="es-ES_tradnl"/>
              </w:rPr>
              <w:t>trusts</w:t>
            </w:r>
            <w:r w:rsidRPr="00AB7B88">
              <w:rPr>
                <w:rStyle w:val="Bodytext8pt"/>
                <w:b w:val="0"/>
                <w:color w:val="000000"/>
                <w:sz w:val="20"/>
                <w:lang w:val="es-AR" w:eastAsia="es-ES_tradnl"/>
              </w:rPr>
              <w:t xml:space="preserve"> en la jurisdicción inglesa desde 1981. Presentó dos informes periciales en el presente arbitraje (CER-4 y CER-14).</w:t>
            </w:r>
          </w:p>
        </w:tc>
      </w:tr>
      <w:tr w:rsidR="003B3957" w:rsidRPr="00C132A4" w14:paraId="3DFD4040" w14:textId="77777777" w:rsidTr="000B2B5D">
        <w:tc>
          <w:tcPr>
            <w:tcW w:w="1668" w:type="dxa"/>
          </w:tcPr>
          <w:p w14:paraId="082DD2B2"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Hinzer, Joe</w:t>
            </w:r>
          </w:p>
        </w:tc>
        <w:tc>
          <w:tcPr>
            <w:tcW w:w="8008" w:type="dxa"/>
          </w:tcPr>
          <w:p w14:paraId="60F8A5CB"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eastAsia="es-ES_tradnl"/>
              </w:rPr>
              <w:t xml:space="preserve">Presidente de Watts, Griffis and McOuat. </w:t>
            </w:r>
            <w:r w:rsidRPr="00AB7B88">
              <w:rPr>
                <w:rStyle w:val="Bodytext8pt"/>
                <w:b w:val="0"/>
                <w:color w:val="000000"/>
                <w:sz w:val="20"/>
                <w:lang w:val="es-AR" w:eastAsia="es-ES_tradnl"/>
              </w:rPr>
              <w:t>Presentó, junto con los señores Ross Macfarlane y Hans Nilsson, dos informes periciales en el presente arbitraje (RER-7 y RER-15).</w:t>
            </w:r>
          </w:p>
        </w:tc>
      </w:tr>
      <w:tr w:rsidR="003B3957" w:rsidRPr="00AB7B88" w14:paraId="60595CCD" w14:textId="77777777" w:rsidTr="000B2B5D">
        <w:tc>
          <w:tcPr>
            <w:tcW w:w="1668" w:type="dxa"/>
          </w:tcPr>
          <w:p w14:paraId="3796B97B"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Holmes,</w:t>
            </w:r>
          </w:p>
          <w:p w14:paraId="2C56828B"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Michael</w:t>
            </w:r>
          </w:p>
          <w:p w14:paraId="0DDAE6B1"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Richard</w:t>
            </w:r>
          </w:p>
        </w:tc>
        <w:tc>
          <w:tcPr>
            <w:tcW w:w="8008" w:type="dxa"/>
          </w:tcPr>
          <w:p w14:paraId="21D0BFC3"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val="es-AR" w:eastAsia="es-ES_tradnl"/>
              </w:rPr>
              <w:t xml:space="preserve">Gerente de Proyecto para el Proyecto Valentines, entre el 17 de mayo de 2010 y el 1 de abril de 2012, fecha en la que ingresó a Zamin Trading DMCC en calidad de director técnico (Proyecto Valentines), cargo que ocupó hasta enero de 2015. </w:t>
            </w:r>
            <w:r w:rsidRPr="00AB7B88">
              <w:rPr>
                <w:rStyle w:val="Bodytext8pt"/>
                <w:b w:val="0"/>
                <w:color w:val="000000"/>
                <w:sz w:val="20"/>
                <w:lang w:eastAsia="es-ES_tradnl"/>
              </w:rPr>
              <w:t>Presentó una declaración testimonial en el presente arbitraje (CWS-12).</w:t>
            </w:r>
          </w:p>
        </w:tc>
      </w:tr>
      <w:tr w:rsidR="003B3957" w:rsidRPr="00AB7B88" w14:paraId="0BDF1540" w14:textId="77777777" w:rsidTr="000B2B5D">
        <w:tc>
          <w:tcPr>
            <w:tcW w:w="1668" w:type="dxa"/>
          </w:tcPr>
          <w:p w14:paraId="5F4A10D1"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Jiwarajka,</w:t>
            </w:r>
          </w:p>
          <w:p w14:paraId="377414CB"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Sushil</w:t>
            </w:r>
          </w:p>
        </w:tc>
        <w:tc>
          <w:tcPr>
            <w:tcW w:w="8008" w:type="dxa"/>
          </w:tcPr>
          <w:p w14:paraId="7B4E74AD"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 xml:space="preserve">Protector del </w:t>
            </w:r>
            <w:r w:rsidRPr="00AB7B88">
              <w:rPr>
                <w:rStyle w:val="Bodytext8pt1"/>
                <w:rFonts w:ascii="Times New Roman" w:hAnsi="Times New Roman"/>
                <w:b w:val="0"/>
                <w:color w:val="000000"/>
                <w:sz w:val="20"/>
                <w:lang w:val="es-AR" w:eastAsia="es-ES_tradnl"/>
              </w:rPr>
              <w:t>Trust</w:t>
            </w:r>
            <w:r w:rsidRPr="00AB7B88">
              <w:rPr>
                <w:rStyle w:val="Bodytext8pt"/>
                <w:b w:val="0"/>
                <w:color w:val="000000"/>
                <w:sz w:val="20"/>
                <w:lang w:val="es-AR" w:eastAsia="es-ES_tradnl"/>
              </w:rPr>
              <w:t xml:space="preserve"> P. Devi entre el 1 de abril de 2008 y el 4 de julio de 2011; director de Miari entre el 8 de octubre de 2010 y el 2 de septiembre de 2013; y director de Devi Ltd. (empresa matriz de Zamin) entre el 2 de octubre de 2010 y el 2 de agosto de 2013. Es el cuñado de Pramod Agarwal. Presentó una declaración testimonial en el presente arbitraje (CWS-6).</w:t>
            </w:r>
          </w:p>
        </w:tc>
      </w:tr>
      <w:tr w:rsidR="003B3957" w:rsidRPr="00AB7B88" w14:paraId="67E8E240" w14:textId="77777777" w:rsidTr="000B2B5D">
        <w:tc>
          <w:tcPr>
            <w:tcW w:w="1668" w:type="dxa"/>
          </w:tcPr>
          <w:p w14:paraId="083EEA3B"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Kannengieser,</w:t>
            </w:r>
          </w:p>
          <w:p w14:paraId="70AC92D3"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Martín</w:t>
            </w:r>
          </w:p>
        </w:tc>
        <w:tc>
          <w:tcPr>
            <w:tcW w:w="8008" w:type="dxa"/>
          </w:tcPr>
          <w:p w14:paraId="2789AE1A"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val="es-AR" w:eastAsia="es-ES_tradnl"/>
              </w:rPr>
              <w:t xml:space="preserve">Jefe de Finanzas Societarias y Desarrollo Comercial de Zamin entre abril de 2008 y diciembre de 2013. </w:t>
            </w:r>
            <w:r w:rsidRPr="00AB7B88">
              <w:rPr>
                <w:rStyle w:val="Bodytext8pt"/>
                <w:b w:val="0"/>
                <w:color w:val="000000"/>
                <w:sz w:val="20"/>
                <w:lang w:eastAsia="es-ES_tradnl"/>
              </w:rPr>
              <w:t>Presentó una declaración testimonial en el presente arbitraje (CWS-13).</w:t>
            </w:r>
          </w:p>
        </w:tc>
      </w:tr>
      <w:tr w:rsidR="003B3957" w:rsidRPr="00C132A4" w14:paraId="42421E84" w14:textId="77777777" w:rsidTr="000B2B5D">
        <w:tc>
          <w:tcPr>
            <w:tcW w:w="1668" w:type="dxa"/>
          </w:tcPr>
          <w:p w14:paraId="6C3CA40A"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Kreimerman,</w:t>
            </w:r>
          </w:p>
          <w:p w14:paraId="6D6DF7F6"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Roberto</w:t>
            </w:r>
          </w:p>
        </w:tc>
        <w:tc>
          <w:tcPr>
            <w:tcW w:w="8008" w:type="dxa"/>
          </w:tcPr>
          <w:p w14:paraId="2ECE7A99"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Subsecretario/Viceministro de Industria, Energía y Minería entre 2009 y 2010, y Ministro de Industria, Energía y Minería, entre 2010 y 2015. Integró la Comisión de Análisis de Minería de Gran Porte. Presentó dos declaraciones testimoniales en el presente arbitraje (RWS-1 y RWS-9).</w:t>
            </w:r>
          </w:p>
        </w:tc>
      </w:tr>
      <w:tr w:rsidR="003B3957" w:rsidRPr="00C132A4" w14:paraId="299D6893" w14:textId="77777777" w:rsidTr="000B2B5D">
        <w:tc>
          <w:tcPr>
            <w:tcW w:w="1668" w:type="dxa"/>
          </w:tcPr>
          <w:p w14:paraId="7D998D1C"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Lambert, Richard J.</w:t>
            </w:r>
          </w:p>
        </w:tc>
        <w:tc>
          <w:tcPr>
            <w:tcW w:w="8008" w:type="dxa"/>
          </w:tcPr>
          <w:p w14:paraId="06C75F3D"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Ingeniero profesional; Director de Operaciones de RPA. Presentó, junto con el Sr. Graham G. Clow, un informe pericial en el presente arbitraje CER-6).</w:t>
            </w:r>
          </w:p>
        </w:tc>
      </w:tr>
      <w:tr w:rsidR="003B3957" w:rsidRPr="00AB7B88" w14:paraId="27FF5D68" w14:textId="77777777" w:rsidTr="000B2B5D">
        <w:tc>
          <w:tcPr>
            <w:tcW w:w="1668" w:type="dxa"/>
          </w:tcPr>
          <w:p w14:paraId="16C198D6"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Latchinian,</w:t>
            </w:r>
          </w:p>
          <w:p w14:paraId="1C10FD85"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Aramis</w:t>
            </w:r>
          </w:p>
        </w:tc>
        <w:tc>
          <w:tcPr>
            <w:tcW w:w="8008" w:type="dxa"/>
          </w:tcPr>
          <w:p w14:paraId="52DA9E7F"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val="es-AR" w:eastAsia="es-ES_tradnl"/>
              </w:rPr>
              <w:t xml:space="preserve">Director de GEA Consultores Ambientales y Director y Gerente Ambiental de INCOSTAS, SA. </w:t>
            </w:r>
            <w:r w:rsidRPr="00AB7B88">
              <w:rPr>
                <w:rStyle w:val="Bodytext8pt"/>
                <w:b w:val="0"/>
                <w:color w:val="000000"/>
                <w:sz w:val="20"/>
                <w:lang w:eastAsia="es-ES_tradnl"/>
              </w:rPr>
              <w:t>Presentó un informe pericial en el presente arbitraje (CER-12).</w:t>
            </w:r>
          </w:p>
        </w:tc>
      </w:tr>
      <w:tr w:rsidR="003B3957" w:rsidRPr="00C132A4" w14:paraId="48B48D79" w14:textId="77777777" w:rsidTr="000B2B5D">
        <w:tc>
          <w:tcPr>
            <w:tcW w:w="1668" w:type="dxa"/>
          </w:tcPr>
          <w:p w14:paraId="0AAF2E82"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López Zadicoff, Pablo D.</w:t>
            </w:r>
          </w:p>
        </w:tc>
        <w:tc>
          <w:tcPr>
            <w:tcW w:w="8008" w:type="dxa"/>
          </w:tcPr>
          <w:p w14:paraId="7D97EEE4"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Primer Vicepresidente de Compass Lexecon. Presentó, junto con el Sr. Manuel A. Abdala, dos informes periciales en el presente arbitraje (CER-2 y CER-5).</w:t>
            </w:r>
          </w:p>
        </w:tc>
      </w:tr>
      <w:tr w:rsidR="003B3957" w:rsidRPr="00C132A4" w14:paraId="52330B53" w14:textId="77777777" w:rsidTr="000B2B5D">
        <w:tc>
          <w:tcPr>
            <w:tcW w:w="1668" w:type="dxa"/>
          </w:tcPr>
          <w:p w14:paraId="51A4437B"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Lorenzo,</w:t>
            </w:r>
          </w:p>
          <w:p w14:paraId="25BDAE6F"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Eugenio</w:t>
            </w:r>
          </w:p>
        </w:tc>
        <w:tc>
          <w:tcPr>
            <w:tcW w:w="8008" w:type="dxa"/>
          </w:tcPr>
          <w:p w14:paraId="78D9AF9D"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Jefe de División de Emprendimientos de Alta Complejidad de DINAMA, a partir de 2003. Presentó dos declaraciones testimoniales en el presente arbitraje (RWS-4 y RWS-12).</w:t>
            </w:r>
          </w:p>
        </w:tc>
      </w:tr>
      <w:tr w:rsidR="003B3957" w:rsidRPr="00AB7B88" w14:paraId="49A10E71" w14:textId="77777777" w:rsidTr="000B2B5D">
        <w:tc>
          <w:tcPr>
            <w:tcW w:w="1668" w:type="dxa"/>
          </w:tcPr>
          <w:p w14:paraId="0B466192" w14:textId="77777777" w:rsidR="003B3957" w:rsidRPr="00AB7B88" w:rsidRDefault="003B3957" w:rsidP="000B2B5D">
            <w:pPr>
              <w:pStyle w:val="Bodytext1"/>
              <w:shd w:val="clear" w:color="auto" w:fill="auto"/>
              <w:spacing w:before="40" w:after="40" w:line="360" w:lineRule="auto"/>
              <w:ind w:left="40" w:right="40" w:firstLine="0"/>
              <w:rPr>
                <w:rStyle w:val="Bodytext8pt"/>
                <w:color w:val="000000"/>
                <w:sz w:val="20"/>
                <w:lang w:eastAsia="es-ES_tradnl"/>
              </w:rPr>
            </w:pPr>
            <w:r w:rsidRPr="00AB7B88">
              <w:rPr>
                <w:rFonts w:cs="NotoSerif"/>
                <w:sz w:val="20"/>
                <w:szCs w:val="17"/>
                <w:lang w:val="es-AR"/>
              </w:rPr>
              <w:t xml:space="preserve">Macfarlane, </w:t>
            </w:r>
            <w:r w:rsidRPr="00AB7B88">
              <w:rPr>
                <w:rFonts w:cs="NotoSerif"/>
                <w:sz w:val="20"/>
                <w:szCs w:val="17"/>
                <w:lang w:val="es-AR"/>
              </w:rPr>
              <w:lastRenderedPageBreak/>
              <w:t>Ross</w:t>
            </w:r>
          </w:p>
        </w:tc>
        <w:tc>
          <w:tcPr>
            <w:tcW w:w="8008" w:type="dxa"/>
          </w:tcPr>
          <w:p w14:paraId="2619DF87" w14:textId="77777777" w:rsidR="003B3957" w:rsidRPr="00AB7B88" w:rsidRDefault="003B3957" w:rsidP="000B2B5D">
            <w:pPr>
              <w:pStyle w:val="Bodytext1"/>
              <w:shd w:val="clear" w:color="auto" w:fill="auto"/>
              <w:spacing w:before="40" w:after="40" w:line="360" w:lineRule="auto"/>
              <w:ind w:left="40" w:right="40" w:firstLine="0"/>
              <w:rPr>
                <w:rStyle w:val="Bodytext8pt"/>
                <w:color w:val="000000"/>
                <w:sz w:val="20"/>
                <w:lang w:val="es-AR" w:eastAsia="es-ES_tradnl"/>
              </w:rPr>
            </w:pPr>
            <w:r w:rsidRPr="00AB7B88">
              <w:rPr>
                <w:rFonts w:cs="NotoSerif"/>
                <w:sz w:val="20"/>
                <w:szCs w:val="17"/>
                <w:lang w:val="es-AR"/>
              </w:rPr>
              <w:lastRenderedPageBreak/>
              <w:t xml:space="preserve">Ingeniero Metalúrgico Principal Adjunto. Presentó, junto con los señores Joe Hinzer y Hans </w:t>
            </w:r>
            <w:r w:rsidRPr="00AB7B88">
              <w:rPr>
                <w:rFonts w:cs="NotoSerif"/>
                <w:sz w:val="20"/>
                <w:szCs w:val="17"/>
                <w:lang w:val="es-AR"/>
              </w:rPr>
              <w:lastRenderedPageBreak/>
              <w:t>Nilsson, dos informes periciales en el presente arbitraje (RER-7 y RER-15).</w:t>
            </w:r>
          </w:p>
        </w:tc>
      </w:tr>
      <w:tr w:rsidR="003B3957" w:rsidRPr="00C132A4" w14:paraId="678ABBB6" w14:textId="77777777" w:rsidTr="000B2B5D">
        <w:tc>
          <w:tcPr>
            <w:tcW w:w="1668" w:type="dxa"/>
          </w:tcPr>
          <w:p w14:paraId="42B3DB12"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lastRenderedPageBreak/>
              <w:t>Masoller,</w:t>
            </w:r>
          </w:p>
          <w:p w14:paraId="08E80919"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Andrés</w:t>
            </w:r>
          </w:p>
        </w:tc>
        <w:tc>
          <w:tcPr>
            <w:tcW w:w="8008" w:type="dxa"/>
          </w:tcPr>
          <w:p w14:paraId="48B1C977"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Director de la Asesoría Macroeconómica del Ministerio de Economía y Finanzas, entre marzo de 2010 y septiembre de 2017. Integró la Comisión de Análisis de Minería de Gran Porte. Presentó dos declaraciones testimoniales en el presente arbitraje (RWS-7 y RWS-15).</w:t>
            </w:r>
          </w:p>
        </w:tc>
      </w:tr>
      <w:tr w:rsidR="003B3957" w:rsidRPr="00C132A4" w14:paraId="4BCEC4A2" w14:textId="77777777" w:rsidTr="000B2B5D">
        <w:tc>
          <w:tcPr>
            <w:tcW w:w="1668" w:type="dxa"/>
          </w:tcPr>
          <w:p w14:paraId="50501B05"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Mehta, Ritika</w:t>
            </w:r>
          </w:p>
        </w:tc>
        <w:tc>
          <w:tcPr>
            <w:tcW w:w="8008" w:type="dxa"/>
          </w:tcPr>
          <w:p w14:paraId="2C2969DB"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Ciudadana del Reino Unido de Gran Bretaña e Irlanda del Norte y uno de los Demandantes en el presente arbitraje.</w:t>
            </w:r>
          </w:p>
        </w:tc>
      </w:tr>
      <w:tr w:rsidR="003B3957" w:rsidRPr="00AB7B88" w14:paraId="117AC320" w14:textId="77777777" w:rsidTr="000B2B5D">
        <w:tc>
          <w:tcPr>
            <w:tcW w:w="1668" w:type="dxa"/>
          </w:tcPr>
          <w:p w14:paraId="565A5F08"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Mehta,</w:t>
            </w:r>
          </w:p>
          <w:p w14:paraId="63FC8A20"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Siddharth</w:t>
            </w:r>
          </w:p>
          <w:p w14:paraId="6A4BCDC1"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Saumil</w:t>
            </w:r>
          </w:p>
        </w:tc>
        <w:tc>
          <w:tcPr>
            <w:tcW w:w="8008" w:type="dxa"/>
          </w:tcPr>
          <w:p w14:paraId="79216709"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Director de Miari entre el 2 de septiembre de 2013 y el 4 de septiembre de 2017; director de Devi Ltd. (la empresa matriz de Zamin) entre el 6 de agosto de 2013 y el 4 de septiembre de 2017; y director de Zamin entre el 9 de agosto de 2011 y el 28 de septiembre de 2018. Presentó una declaración testimonial en el presente arbitraje (CWS-7).</w:t>
            </w:r>
          </w:p>
        </w:tc>
      </w:tr>
      <w:tr w:rsidR="003B3957" w:rsidRPr="00C132A4" w14:paraId="65B56034" w14:textId="77777777" w:rsidTr="000B2B5D">
        <w:tc>
          <w:tcPr>
            <w:tcW w:w="1668" w:type="dxa"/>
          </w:tcPr>
          <w:p w14:paraId="2D9C6A08"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Mújica, José</w:t>
            </w:r>
          </w:p>
        </w:tc>
        <w:tc>
          <w:tcPr>
            <w:tcW w:w="8008" w:type="dxa"/>
          </w:tcPr>
          <w:p w14:paraId="649C92B7"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Presidente de la República Oriental del Uruguay entre’ el 1 de marzo de 2010 y marzo de 2015.</w:t>
            </w:r>
          </w:p>
        </w:tc>
      </w:tr>
      <w:tr w:rsidR="003B3957" w:rsidRPr="00AB7B88" w14:paraId="7D2119BD" w14:textId="77777777" w:rsidTr="000B2B5D">
        <w:tc>
          <w:tcPr>
            <w:tcW w:w="1668" w:type="dxa"/>
          </w:tcPr>
          <w:p w14:paraId="7A38900A"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Mukherjee,</w:t>
            </w:r>
          </w:p>
          <w:p w14:paraId="66FAD813"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Malay</w:t>
            </w:r>
          </w:p>
        </w:tc>
        <w:tc>
          <w:tcPr>
            <w:tcW w:w="8008" w:type="dxa"/>
          </w:tcPr>
          <w:p w14:paraId="40404843"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Director Ejecutivo de Zamin, a partir de enero de 2012. Presentó una declaración testimonial en el presente arbitraje (CWS-5).</w:t>
            </w:r>
          </w:p>
        </w:tc>
      </w:tr>
      <w:tr w:rsidR="003B3957" w:rsidRPr="00C132A4" w14:paraId="2037FD26" w14:textId="77777777" w:rsidTr="000B2B5D">
        <w:tc>
          <w:tcPr>
            <w:tcW w:w="1668" w:type="dxa"/>
          </w:tcPr>
          <w:p w14:paraId="79E55AF9"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Nilsson, Hans</w:t>
            </w:r>
          </w:p>
        </w:tc>
        <w:tc>
          <w:tcPr>
            <w:tcW w:w="8008" w:type="dxa"/>
          </w:tcPr>
          <w:p w14:paraId="6EDFF146"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Consultor independiente de Ventas y Comercialización de Mineral de Hierro Presentó, junto con los señores Joe Hinzer y Ross Macfarlane, dos informes periciales en el presente arbitraje (RER-7 y RER-15).</w:t>
            </w:r>
          </w:p>
        </w:tc>
      </w:tr>
      <w:tr w:rsidR="003B3957" w:rsidRPr="00C132A4" w14:paraId="37B80628" w14:textId="77777777" w:rsidTr="000B2B5D">
        <w:tc>
          <w:tcPr>
            <w:tcW w:w="1668" w:type="dxa"/>
          </w:tcPr>
          <w:p w14:paraId="1EF751E1"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Otto, James</w:t>
            </w:r>
          </w:p>
        </w:tc>
        <w:tc>
          <w:tcPr>
            <w:tcW w:w="8008" w:type="dxa"/>
          </w:tcPr>
          <w:p w14:paraId="110CEBA0"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Consultor independiente que ejerce en el ámbito del derecho de los recursos naturales y la economía Presentó dos informes periciales en el presente arbitraje (RER-2 y RER-10).</w:t>
            </w:r>
          </w:p>
        </w:tc>
      </w:tr>
      <w:tr w:rsidR="003B3957" w:rsidRPr="00C132A4" w14:paraId="74523D9E" w14:textId="77777777" w:rsidTr="000B2B5D">
        <w:tc>
          <w:tcPr>
            <w:tcW w:w="1668" w:type="dxa"/>
          </w:tcPr>
          <w:p w14:paraId="29D10CBE"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Pereira</w:t>
            </w:r>
          </w:p>
          <w:p w14:paraId="53E29131"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Campos,</w:t>
            </w:r>
          </w:p>
          <w:p w14:paraId="35E8D92C"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Santiago</w:t>
            </w:r>
          </w:p>
        </w:tc>
        <w:tc>
          <w:tcPr>
            <w:tcW w:w="8008" w:type="dxa"/>
          </w:tcPr>
          <w:p w14:paraId="40E034B1"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Profesor de Derecho Procesal en la Universidad de Montevideo. Presentó dos informes periciales en el presente arbitraje (RER-4 y RER-12).</w:t>
            </w:r>
          </w:p>
        </w:tc>
      </w:tr>
      <w:tr w:rsidR="003B3957" w:rsidRPr="00AB7B88" w14:paraId="1BC44E89" w14:textId="77777777" w:rsidTr="000B2B5D">
        <w:tc>
          <w:tcPr>
            <w:tcW w:w="1668" w:type="dxa"/>
          </w:tcPr>
          <w:p w14:paraId="1212D601"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Phillips, Ian</w:t>
            </w:r>
          </w:p>
        </w:tc>
        <w:tc>
          <w:tcPr>
            <w:tcW w:w="8008" w:type="dxa"/>
          </w:tcPr>
          <w:p w14:paraId="77A8A4B9"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val="es-AR" w:eastAsia="es-ES_tradnl"/>
              </w:rPr>
              <w:t xml:space="preserve">Presidente de Cayman National Trust Co. Ltd., una sociedad de </w:t>
            </w:r>
            <w:r w:rsidRPr="00AB7B88">
              <w:rPr>
                <w:rStyle w:val="Bodytext8pt1"/>
                <w:rFonts w:ascii="Times New Roman" w:hAnsi="Times New Roman"/>
                <w:b w:val="0"/>
                <w:color w:val="000000"/>
                <w:sz w:val="20"/>
                <w:lang w:val="es-AR" w:eastAsia="es-ES_tradnl"/>
              </w:rPr>
              <w:t>trusts</w:t>
            </w:r>
            <w:r w:rsidRPr="00AB7B88">
              <w:rPr>
                <w:rStyle w:val="Bodytext8pt"/>
                <w:b w:val="0"/>
                <w:color w:val="000000"/>
                <w:sz w:val="20"/>
                <w:lang w:val="es-AR" w:eastAsia="es-ES_tradnl"/>
              </w:rPr>
              <w:t xml:space="preserve"> corporativos, que fue el </w:t>
            </w:r>
            <w:r w:rsidRPr="00AB7B88">
              <w:rPr>
                <w:rStyle w:val="Bodytext8pt1"/>
                <w:rFonts w:ascii="Times New Roman" w:hAnsi="Times New Roman"/>
                <w:b w:val="0"/>
                <w:color w:val="000000"/>
                <w:sz w:val="20"/>
                <w:lang w:val="es-AR" w:eastAsia="es-ES_tradnl"/>
              </w:rPr>
              <w:t>trustee</w:t>
            </w:r>
            <w:r w:rsidRPr="00AB7B88">
              <w:rPr>
                <w:rStyle w:val="Bodytext8pt"/>
                <w:b w:val="0"/>
                <w:color w:val="000000"/>
                <w:sz w:val="20"/>
                <w:lang w:val="es-AR" w:eastAsia="es-ES_tradnl"/>
              </w:rPr>
              <w:t xml:space="preserve"> inicial del </w:t>
            </w:r>
            <w:r w:rsidRPr="00AB7B88">
              <w:rPr>
                <w:rStyle w:val="Bodytext8pt1"/>
                <w:rFonts w:ascii="Times New Roman" w:hAnsi="Times New Roman"/>
                <w:b w:val="0"/>
                <w:color w:val="000000"/>
                <w:sz w:val="20"/>
                <w:lang w:val="es-AR" w:eastAsia="es-ES_tradnl"/>
              </w:rPr>
              <w:t>Trust</w:t>
            </w:r>
            <w:r w:rsidRPr="00AB7B88">
              <w:rPr>
                <w:rStyle w:val="Bodytext8pt"/>
                <w:b w:val="0"/>
                <w:color w:val="000000"/>
                <w:sz w:val="20"/>
                <w:lang w:val="es-AR" w:eastAsia="es-ES_tradnl"/>
              </w:rPr>
              <w:t xml:space="preserve"> P. Devi, junto con el Sr. Phillips a título personal. </w:t>
            </w:r>
            <w:r w:rsidRPr="00AB7B88">
              <w:rPr>
                <w:rStyle w:val="Bodytext8pt"/>
                <w:b w:val="0"/>
                <w:color w:val="000000"/>
                <w:sz w:val="20"/>
                <w:lang w:eastAsia="es-ES_tradnl"/>
              </w:rPr>
              <w:t>Más adelante, fungió como director de Miari.</w:t>
            </w:r>
          </w:p>
        </w:tc>
      </w:tr>
      <w:tr w:rsidR="003B3957" w:rsidRPr="00C132A4" w14:paraId="6A61FF5C" w14:textId="77777777" w:rsidTr="000B2B5D">
        <w:tc>
          <w:tcPr>
            <w:tcW w:w="1668" w:type="dxa"/>
          </w:tcPr>
          <w:p w14:paraId="5505A506"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Piaggio,</w:t>
            </w:r>
          </w:p>
          <w:p w14:paraId="5498CD6A"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Raquel</w:t>
            </w:r>
          </w:p>
        </w:tc>
        <w:tc>
          <w:tcPr>
            <w:tcW w:w="8008" w:type="dxa"/>
          </w:tcPr>
          <w:p w14:paraId="050D4D7A"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Coordinadora de la Unidad Ambiental del MIEM, a partir del 19 de mayo de 2010. Durante las negociaciones con Minera Aratirí integró el Grupo Técnico. Presentó dos declaraciones testimoniales en el presente arbitraje (RWS-3 y RWS-11).</w:t>
            </w:r>
          </w:p>
        </w:tc>
      </w:tr>
      <w:tr w:rsidR="003B3957" w:rsidRPr="00AB7B88" w14:paraId="1682902D" w14:textId="77777777" w:rsidTr="000B2B5D">
        <w:tc>
          <w:tcPr>
            <w:tcW w:w="1668" w:type="dxa"/>
          </w:tcPr>
          <w:p w14:paraId="4C8E558C"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Puig, Felipe</w:t>
            </w:r>
          </w:p>
        </w:tc>
        <w:tc>
          <w:tcPr>
            <w:tcW w:w="8008" w:type="dxa"/>
          </w:tcPr>
          <w:p w14:paraId="0B74AFA2"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val="es-AR" w:eastAsia="es-ES_tradnl"/>
              </w:rPr>
              <w:t xml:space="preserve">Gerente General de la Cámara Nacional de Comercio y Servicios del Uruguay (a partir de 2017). </w:t>
            </w:r>
            <w:r w:rsidRPr="00AB7B88">
              <w:rPr>
                <w:rStyle w:val="Bodytext8pt"/>
                <w:b w:val="0"/>
                <w:color w:val="000000"/>
                <w:sz w:val="20"/>
                <w:lang w:eastAsia="es-ES_tradnl"/>
              </w:rPr>
              <w:t>Presentó un dictamen pericial en el presente arbitraje (CER-8).</w:t>
            </w:r>
          </w:p>
        </w:tc>
      </w:tr>
      <w:tr w:rsidR="003B3957" w:rsidRPr="00AB7B88" w14:paraId="3826744C" w14:textId="77777777" w:rsidTr="000B2B5D">
        <w:tc>
          <w:tcPr>
            <w:tcW w:w="1668" w:type="dxa"/>
          </w:tcPr>
          <w:p w14:paraId="29E1DC46"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Reinisch,</w:t>
            </w:r>
          </w:p>
          <w:p w14:paraId="58CC3FAC"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August</w:t>
            </w:r>
          </w:p>
        </w:tc>
        <w:tc>
          <w:tcPr>
            <w:tcW w:w="8008" w:type="dxa"/>
          </w:tcPr>
          <w:p w14:paraId="2EB385F3"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val="es-AR" w:eastAsia="es-ES_tradnl"/>
              </w:rPr>
              <w:t xml:space="preserve">Jefe de la Sección de Derecho Internacional y Relaciones Internacionales de la Facultad de Derecho de la Universidad de Viena. </w:t>
            </w:r>
            <w:r w:rsidRPr="00AB7B88">
              <w:rPr>
                <w:rStyle w:val="Bodytext8pt"/>
                <w:b w:val="0"/>
                <w:color w:val="000000"/>
                <w:sz w:val="20"/>
                <w:lang w:eastAsia="es-ES_tradnl"/>
              </w:rPr>
              <w:t>Presentó un informe pericial en el presente arbitraje (RER-17).</w:t>
            </w:r>
          </w:p>
        </w:tc>
      </w:tr>
      <w:tr w:rsidR="003B3957" w:rsidRPr="00C132A4" w14:paraId="3E965C60" w14:textId="77777777" w:rsidTr="000B2B5D">
        <w:tc>
          <w:tcPr>
            <w:tcW w:w="1668" w:type="dxa"/>
          </w:tcPr>
          <w:p w14:paraId="36486A37"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lastRenderedPageBreak/>
              <w:t>Reisman, Michael W.</w:t>
            </w:r>
          </w:p>
        </w:tc>
        <w:tc>
          <w:tcPr>
            <w:tcW w:w="8008" w:type="dxa"/>
          </w:tcPr>
          <w:p w14:paraId="131F9B52"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Profesor de Derecho Internacional de la cátedra S. McDougal en la Facultad de Derecho de Yale. Presentó dos informes periciales en el presente arbitraje (CER-3 y CER-13).</w:t>
            </w:r>
          </w:p>
        </w:tc>
      </w:tr>
      <w:tr w:rsidR="003B3957" w:rsidRPr="00C132A4" w14:paraId="4D4CCE8C" w14:textId="77777777" w:rsidTr="000B2B5D">
        <w:tc>
          <w:tcPr>
            <w:tcW w:w="1668" w:type="dxa"/>
          </w:tcPr>
          <w:p w14:paraId="2962A292"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Reynolds,</w:t>
            </w:r>
          </w:p>
          <w:p w14:paraId="480390C2"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Rachael</w:t>
            </w:r>
          </w:p>
        </w:tc>
        <w:tc>
          <w:tcPr>
            <w:tcW w:w="8008" w:type="dxa"/>
          </w:tcPr>
          <w:p w14:paraId="4BD53486"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Socia y Jefa de Resolución de Controversias en el estudio jurídico Ogier. Presentó dos informes periciales en el presente arbitraje (RER-1 y RER-9).</w:t>
            </w:r>
          </w:p>
        </w:tc>
      </w:tr>
      <w:tr w:rsidR="003B3957" w:rsidRPr="00C132A4" w14:paraId="364EAC3E" w14:textId="77777777" w:rsidTr="000B2B5D">
        <w:tc>
          <w:tcPr>
            <w:tcW w:w="1668" w:type="dxa"/>
          </w:tcPr>
          <w:p w14:paraId="169CB0D8"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Rodríguez,</w:t>
            </w:r>
          </w:p>
          <w:p w14:paraId="14391C19"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Ramiro</w:t>
            </w:r>
          </w:p>
          <w:p w14:paraId="6DF7A573"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Manuel</w:t>
            </w:r>
          </w:p>
        </w:tc>
        <w:tc>
          <w:tcPr>
            <w:tcW w:w="8008" w:type="dxa"/>
          </w:tcPr>
          <w:p w14:paraId="509319B9"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Gerente de Relaciones Institucionales de Minera Aratirí desde 2011. Presentó dos declaraciones testimoniales en el presente arbitraje (CWS-4 y CWS-11).</w:t>
            </w:r>
          </w:p>
        </w:tc>
      </w:tr>
      <w:tr w:rsidR="003B3957" w:rsidRPr="00C132A4" w14:paraId="23956F32" w14:textId="77777777" w:rsidTr="000B2B5D">
        <w:tc>
          <w:tcPr>
            <w:tcW w:w="1668" w:type="dxa"/>
          </w:tcPr>
          <w:p w14:paraId="03329ECB"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Shah, Jay</w:t>
            </w:r>
          </w:p>
        </w:tc>
        <w:tc>
          <w:tcPr>
            <w:tcW w:w="8008" w:type="dxa"/>
          </w:tcPr>
          <w:p w14:paraId="4802842C"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Director de Desarrollo Comercial en Zamin hasta junio de 2018. Presentó dos declaraciones testimoniales en el presente arbitraje (CWS-2 y CWS-8).</w:t>
            </w:r>
          </w:p>
        </w:tc>
      </w:tr>
      <w:tr w:rsidR="003B3957" w:rsidRPr="00C132A4" w14:paraId="6631AC55" w14:textId="77777777" w:rsidTr="000B2B5D">
        <w:tc>
          <w:tcPr>
            <w:tcW w:w="1668" w:type="dxa"/>
          </w:tcPr>
          <w:p w14:paraId="36D7882A"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Soler,</w:t>
            </w:r>
          </w:p>
          <w:p w14:paraId="058F732D"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Graciela</w:t>
            </w:r>
          </w:p>
        </w:tc>
        <w:tc>
          <w:tcPr>
            <w:tcW w:w="8008" w:type="dxa"/>
          </w:tcPr>
          <w:p w14:paraId="6B423680"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Jefa de la Asesoría Jurídica de la Dirección Nacional de Hidrografía, a partir de 2017. Presentó dos declaraciones testimoniales en el presente arbitraje (RWS-6 y RWS-14).</w:t>
            </w:r>
          </w:p>
        </w:tc>
      </w:tr>
      <w:tr w:rsidR="003B3957" w:rsidRPr="00C132A4" w14:paraId="42EDED69" w14:textId="77777777" w:rsidTr="000B2B5D">
        <w:tc>
          <w:tcPr>
            <w:tcW w:w="1668" w:type="dxa"/>
          </w:tcPr>
          <w:p w14:paraId="1AAD1F02"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Toma, Miguel</w:t>
            </w:r>
          </w:p>
        </w:tc>
        <w:tc>
          <w:tcPr>
            <w:tcW w:w="8008" w:type="dxa"/>
          </w:tcPr>
          <w:p w14:paraId="7E8B594D"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Secretario de la Presidencia de la República Oriental del Uruguay durante el primer y el segundo gobierno de Vázquez.</w:t>
            </w:r>
          </w:p>
        </w:tc>
      </w:tr>
      <w:tr w:rsidR="003B3957" w:rsidRPr="00AB7B88" w14:paraId="6A2EAFE5" w14:textId="77777777" w:rsidTr="000B2B5D">
        <w:tc>
          <w:tcPr>
            <w:tcW w:w="1668" w:type="dxa"/>
          </w:tcPr>
          <w:p w14:paraId="3CB9BA86"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Van Rompaey, Leslie</w:t>
            </w:r>
          </w:p>
        </w:tc>
        <w:tc>
          <w:tcPr>
            <w:tcW w:w="8008" w:type="dxa"/>
          </w:tcPr>
          <w:p w14:paraId="3C35774E"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val="es-AR" w:eastAsia="es-ES_tradnl"/>
              </w:rPr>
              <w:t xml:space="preserve">Árbitro, asesor letrado y abogado (desde 2012); ministro integrante de la Suprema Corte de Justicia de Uruguay (2002-2012). </w:t>
            </w:r>
            <w:r w:rsidRPr="00AB7B88">
              <w:rPr>
                <w:rStyle w:val="Bodytext8pt"/>
                <w:b w:val="0"/>
                <w:color w:val="000000"/>
                <w:sz w:val="20"/>
                <w:lang w:eastAsia="es-ES_tradnl"/>
              </w:rPr>
              <w:t>Presentó un informe pericial en el presente arbitraje (RER-18).</w:t>
            </w:r>
          </w:p>
        </w:tc>
      </w:tr>
      <w:tr w:rsidR="003B3957" w:rsidRPr="00C132A4" w14:paraId="3B8976A4" w14:textId="77777777" w:rsidTr="000B2B5D">
        <w:tc>
          <w:tcPr>
            <w:tcW w:w="1668" w:type="dxa"/>
          </w:tcPr>
          <w:p w14:paraId="1C1EC5C0"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Vasson,</w:t>
            </w:r>
          </w:p>
          <w:p w14:paraId="63951D41"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Anjani</w:t>
            </w:r>
          </w:p>
        </w:tc>
        <w:tc>
          <w:tcPr>
            <w:tcW w:w="8008" w:type="dxa"/>
          </w:tcPr>
          <w:p w14:paraId="6A9043E4" w14:textId="77777777" w:rsidR="003B3957" w:rsidRPr="00AB7B88" w:rsidRDefault="003B3957" w:rsidP="000B2B5D">
            <w:pPr>
              <w:pStyle w:val="Bodytext1"/>
              <w:shd w:val="clear" w:color="auto" w:fill="auto"/>
              <w:spacing w:before="40" w:after="40" w:line="360" w:lineRule="auto"/>
              <w:ind w:left="40" w:right="40" w:firstLine="0"/>
              <w:rPr>
                <w:b/>
                <w:sz w:val="20"/>
                <w:lang w:val="es-AR"/>
              </w:rPr>
            </w:pPr>
            <w:r w:rsidRPr="00AB7B88">
              <w:rPr>
                <w:rStyle w:val="Bodytext8pt"/>
                <w:b w:val="0"/>
                <w:color w:val="000000"/>
                <w:sz w:val="20"/>
                <w:lang w:val="es-AR" w:eastAsia="es-ES_tradnl"/>
              </w:rPr>
              <w:t xml:space="preserve">Hija del Sr. Pramod Agarwal y hermana de los Demandantes. En diciembre de 2015, fue declarada "Persona excluida" del </w:t>
            </w:r>
            <w:r w:rsidRPr="00AB7B88">
              <w:rPr>
                <w:rStyle w:val="Bodytext8pt1"/>
                <w:rFonts w:ascii="Times New Roman" w:hAnsi="Times New Roman"/>
                <w:b w:val="0"/>
                <w:color w:val="000000"/>
                <w:sz w:val="20"/>
                <w:lang w:val="es-AR" w:eastAsia="es-ES_tradnl"/>
              </w:rPr>
              <w:t xml:space="preserve">Trust </w:t>
            </w:r>
            <w:r w:rsidRPr="00AB7B88">
              <w:rPr>
                <w:rStyle w:val="Bodytext8pt1"/>
                <w:rFonts w:ascii="Times New Roman" w:hAnsi="Times New Roman"/>
                <w:b w:val="0"/>
                <w:i w:val="0"/>
                <w:color w:val="000000"/>
                <w:sz w:val="20"/>
                <w:lang w:val="es-AR" w:eastAsia="es-ES_tradnl"/>
              </w:rPr>
              <w:t>P.</w:t>
            </w:r>
            <w:r w:rsidRPr="00AB7B88">
              <w:rPr>
                <w:rStyle w:val="Bodytext8pt"/>
                <w:b w:val="0"/>
                <w:i/>
                <w:color w:val="000000"/>
                <w:sz w:val="20"/>
                <w:lang w:val="es-AR" w:eastAsia="es-ES_tradnl"/>
              </w:rPr>
              <w:t xml:space="preserve"> </w:t>
            </w:r>
            <w:r w:rsidRPr="00AB7B88">
              <w:rPr>
                <w:rStyle w:val="Bodytext8pt"/>
                <w:b w:val="0"/>
                <w:color w:val="000000"/>
                <w:sz w:val="20"/>
                <w:lang w:val="es-AR" w:eastAsia="es-ES_tradnl"/>
              </w:rPr>
              <w:t>Devi a raíz de su solicitud después de obtener la ciudadanía estadounidense.</w:t>
            </w:r>
          </w:p>
        </w:tc>
      </w:tr>
      <w:tr w:rsidR="003B3957" w:rsidRPr="00AB7B88" w14:paraId="2468CF25" w14:textId="77777777" w:rsidTr="000B2B5D">
        <w:tc>
          <w:tcPr>
            <w:tcW w:w="1668" w:type="dxa"/>
          </w:tcPr>
          <w:p w14:paraId="2399523D"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Vázquez,</w:t>
            </w:r>
          </w:p>
          <w:p w14:paraId="4BF4ADC6"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eastAsia="es-ES_tradnl"/>
              </w:rPr>
              <w:t>Tabaré</w:t>
            </w:r>
          </w:p>
        </w:tc>
        <w:tc>
          <w:tcPr>
            <w:tcW w:w="8008" w:type="dxa"/>
          </w:tcPr>
          <w:p w14:paraId="04BB66F1" w14:textId="77777777" w:rsidR="003B3957" w:rsidRPr="00AB7B88" w:rsidRDefault="003B3957" w:rsidP="000B2B5D">
            <w:pPr>
              <w:pStyle w:val="Bodytext1"/>
              <w:shd w:val="clear" w:color="auto" w:fill="auto"/>
              <w:spacing w:before="40" w:after="40" w:line="360" w:lineRule="auto"/>
              <w:ind w:left="40" w:right="40" w:firstLine="0"/>
              <w:rPr>
                <w:b/>
                <w:sz w:val="20"/>
              </w:rPr>
            </w:pPr>
            <w:r w:rsidRPr="00AB7B88">
              <w:rPr>
                <w:rStyle w:val="Bodytext8pt"/>
                <w:b w:val="0"/>
                <w:color w:val="000000"/>
                <w:sz w:val="20"/>
                <w:lang w:val="es-AR" w:eastAsia="es-ES_tradnl"/>
              </w:rPr>
              <w:t xml:space="preserve">Presidente de la República Oriental del Uruguay entre 2005 y 2010. </w:t>
            </w:r>
            <w:r w:rsidRPr="00AB7B88">
              <w:rPr>
                <w:rStyle w:val="Bodytext8pt"/>
                <w:b w:val="0"/>
                <w:color w:val="000000"/>
                <w:sz w:val="20"/>
                <w:lang w:eastAsia="es-ES_tradnl"/>
              </w:rPr>
              <w:t>En marzo de 2015, volvió a ocupar la presidencia.</w:t>
            </w:r>
          </w:p>
        </w:tc>
      </w:tr>
    </w:tbl>
    <w:p w14:paraId="63DF7CA1" w14:textId="77777777" w:rsidR="003B3957" w:rsidRPr="00AB7B88" w:rsidRDefault="003B3957" w:rsidP="004957FB">
      <w:pPr>
        <w:pStyle w:val="ListParagraph"/>
        <w:widowControl w:val="0"/>
        <w:numPr>
          <w:ilvl w:val="0"/>
          <w:numId w:val="2"/>
        </w:numPr>
        <w:spacing w:before="380" w:line="360" w:lineRule="auto"/>
        <w:ind w:left="425" w:hanging="425"/>
        <w:jc w:val="both"/>
        <w:rPr>
          <w:rStyle w:val="Bodytext3"/>
          <w:rFonts w:eastAsia="Calibri"/>
          <w:b/>
          <w:bCs/>
          <w:color w:val="000000"/>
          <w:sz w:val="20"/>
          <w:lang w:eastAsia="es-ES_tradnl"/>
        </w:rPr>
      </w:pPr>
      <w:bookmarkStart w:id="6" w:name="bookmark11"/>
      <w:bookmarkStart w:id="7" w:name="bookmark12"/>
      <w:r w:rsidRPr="00AB7B88">
        <w:rPr>
          <w:rStyle w:val="Bodytext3"/>
          <w:rFonts w:eastAsia="Calibri"/>
          <w:b/>
          <w:bCs/>
          <w:color w:val="000000"/>
          <w:sz w:val="20"/>
          <w:lang w:eastAsia="es-ES_tradnl"/>
        </w:rPr>
        <w:t>INTRODUCCIÓN</w:t>
      </w:r>
      <w:bookmarkEnd w:id="6"/>
      <w:bookmarkEnd w:id="7"/>
    </w:p>
    <w:p w14:paraId="0FBD238D" w14:textId="77777777" w:rsidR="003B3957" w:rsidRPr="00AB7B88" w:rsidRDefault="003B3957" w:rsidP="00391762">
      <w:pPr>
        <w:pStyle w:val="Bodytext30"/>
        <w:widowControl w:val="0"/>
        <w:numPr>
          <w:ilvl w:val="0"/>
          <w:numId w:val="3"/>
        </w:numPr>
        <w:shd w:val="clear" w:color="auto" w:fill="auto"/>
        <w:spacing w:before="380" w:after="0" w:line="360" w:lineRule="auto"/>
        <w:ind w:left="340" w:hanging="340"/>
        <w:jc w:val="both"/>
        <w:rPr>
          <w:sz w:val="20"/>
        </w:rPr>
      </w:pPr>
      <w:bookmarkStart w:id="8" w:name="bookmark13"/>
      <w:bookmarkStart w:id="9" w:name="bookmark14"/>
      <w:r w:rsidRPr="00AB7B88">
        <w:rPr>
          <w:rStyle w:val="Bodytext3"/>
          <w:b/>
          <w:bCs/>
          <w:color w:val="000000"/>
          <w:sz w:val="20"/>
          <w:lang w:eastAsia="es-ES_tradnl"/>
        </w:rPr>
        <w:t>Las Partes</w:t>
      </w:r>
      <w:bookmarkEnd w:id="8"/>
      <w:bookmarkEnd w:id="9"/>
    </w:p>
    <w:p w14:paraId="6609A3C0" w14:textId="77777777" w:rsidR="003B3957" w:rsidRPr="00AB7B88" w:rsidRDefault="003B3957" w:rsidP="007F3C86">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eastAsia="es-ES_tradnl"/>
        </w:rPr>
        <w:t xml:space="preserve">Los demandantes son: i) la Sra. Ritika Mehta, con domicilio en Flat 21, 1 Chepstow Place, Londres W2 4TE, Reino Unido; ii) la Sra. Vinita Agarwal, con domicilio en Edgehill Manor, Highwood Hill, Mili Hill, Londres NW7 4HP, Reino Unido; y iii) el Sr. Prenay Agarwal, con domicilio en Edgehill Manor, Highwood Hill, Mili Hill, Londres NW7 4HP, Reino Unido (conjuntamente, los "Demandantes"). </w:t>
      </w:r>
      <w:r w:rsidRPr="00AB7B88">
        <w:rPr>
          <w:rStyle w:val="Bodytext"/>
          <w:color w:val="000000"/>
          <w:sz w:val="20"/>
          <w:lang w:val="es-AR" w:eastAsia="es-ES_tradnl"/>
        </w:rPr>
        <w:t>Los Demandantes plantean sus pretensiones al amparo del artículo 8 del Convenio entre el Gobierno del Reino Unido de Gran Bretaña e Irlanda del Norte y el Gobierno de la República Oriental del Uruguay sobre el Fomento y la Protección de Inversiones de Capital, firmado el 21 de octubre de 1991 y entrado en vigor el 1 de agosto de 1997 (el "TBI").</w:t>
      </w:r>
    </w:p>
    <w:p w14:paraId="1ADBDA30" w14:textId="77777777" w:rsidR="003B3957" w:rsidRPr="00AB7B88" w:rsidRDefault="003B3957" w:rsidP="00E72B5D">
      <w:pPr>
        <w:pStyle w:val="Bodytext1"/>
        <w:numPr>
          <w:ilvl w:val="0"/>
          <w:numId w:val="4"/>
        </w:numPr>
        <w:shd w:val="clear" w:color="auto" w:fill="auto"/>
        <w:spacing w:before="380" w:line="360" w:lineRule="auto"/>
        <w:ind w:left="522" w:hanging="522"/>
        <w:jc w:val="both"/>
        <w:rPr>
          <w:sz w:val="20"/>
          <w:lang w:val="es-AR"/>
        </w:rPr>
      </w:pPr>
      <w:r w:rsidRPr="00AB7B88">
        <w:rPr>
          <w:rStyle w:val="Bodytext"/>
          <w:color w:val="000000"/>
          <w:sz w:val="20"/>
          <w:lang w:val="es-AR" w:eastAsia="es-ES_tradnl"/>
        </w:rPr>
        <w:lastRenderedPageBreak/>
        <w:t>Los Demandantes están representados en este procedimiento por los Sres. Kenneth R. Fleuriet, Charles B. Rosenberg y Eduardo Bruera de King &amp; Spalding LLP, 1700 Pennsylvania Avenue NW, Suite 200, Washington, D.C. 2006, Estados Unidos de América; los Sres. Reginald R. Smith, Craig S. Miles y Femando Rodríguez-Cortina, así como la Sra. Eldy Quintanilla Roche y el Sr. Arturo Oropeza Casas de King &amp; Spalding LLP, 1 100 Louisiana St., Houston, TX 77002, Estados Unidos de América; los Sres. Henry G. Burnett, Viren Mascarenhas y Mr. Enrique J. Molina de King &amp; Spalding LLP, 1185 Avenue of the Americas, Nueva York, NY10036, Estados Unidos de America; la Sra. Isabel San Martín de King &amp; Spalding LLP, 12 cours Albert Ier, 75008 París, Francia; y las Sras. Sandra González y Soledad Díaz de Ferrere, Juncal 1392, Edificio Ferrere, Montevideo 11000, Uruguay.</w:t>
      </w:r>
    </w:p>
    <w:p w14:paraId="7F4E2A51" w14:textId="77777777" w:rsidR="00734CD8" w:rsidRPr="00AB7B88" w:rsidRDefault="003B3957" w:rsidP="00E72B5D">
      <w:pPr>
        <w:pStyle w:val="Bodytext1"/>
        <w:numPr>
          <w:ilvl w:val="0"/>
          <w:numId w:val="4"/>
        </w:numPr>
        <w:shd w:val="clear" w:color="auto" w:fill="auto"/>
        <w:spacing w:before="380" w:line="360" w:lineRule="auto"/>
        <w:ind w:left="522" w:hanging="522"/>
        <w:jc w:val="both"/>
        <w:rPr>
          <w:rStyle w:val="Bodytext"/>
          <w:color w:val="000000"/>
          <w:sz w:val="20"/>
          <w:lang w:val="fr-FR" w:eastAsia="es-ES_tradnl"/>
        </w:rPr>
      </w:pPr>
      <w:r w:rsidRPr="00AB7B88">
        <w:rPr>
          <w:rStyle w:val="Footnote2"/>
          <w:color w:val="000000"/>
          <w:sz w:val="20"/>
          <w:lang w:val="es-AR" w:eastAsia="es-ES_tradnl"/>
        </w:rPr>
        <w:t>La Demandada en el presente arbitraje es la República Oriental del Uruguay (la "Demandada" o "Uruguay", y conjuntamente con los Demandantes, las "Partes"). La Demandada está representada en este procedimiento por el Dr. Rodrigo Ferrés Rubio (Prosecretario de la Presidencia de la República), Prosecretaría de la Presidencia de la República, Torre Ejecutiva, Plaza Independencia 710, CP 11000, Montevideo, Uruguay; el Sr. Francisco Bustillo Bonasso (Ministro de Relaciones Exteriores del Uruguay), Colonia 1206, CP 11100, Montevideo, Uruguay; el Sr. Alejandro Rodríguez</w:t>
      </w:r>
      <w:r w:rsidR="00734CD8" w:rsidRPr="00AB7B88">
        <w:rPr>
          <w:rStyle w:val="Footnote2"/>
          <w:color w:val="000000"/>
          <w:sz w:val="20"/>
          <w:lang w:val="es-AR" w:eastAsia="es-ES_tradnl"/>
        </w:rPr>
        <w:t xml:space="preserve"> </w:t>
      </w:r>
      <w:r w:rsidR="00734CD8" w:rsidRPr="00AB7B88">
        <w:rPr>
          <w:rStyle w:val="Bodytext"/>
          <w:color w:val="000000"/>
          <w:sz w:val="20"/>
          <w:lang w:val="es-AR" w:eastAsia="es-ES_tradnl"/>
        </w:rPr>
        <w:t xml:space="preserve">(Encargado de Negocios </w:t>
      </w:r>
      <w:r w:rsidR="00734CD8" w:rsidRPr="00AB7B88">
        <w:rPr>
          <w:rStyle w:val="BodytextItalic"/>
          <w:color w:val="000000"/>
          <w:sz w:val="20"/>
          <w:lang w:val="es-AR" w:eastAsia="es-ES_tradnl"/>
        </w:rPr>
        <w:t>ad interim),</w:t>
      </w:r>
      <w:r w:rsidR="00734CD8" w:rsidRPr="00AB7B88">
        <w:rPr>
          <w:rStyle w:val="Bodytext"/>
          <w:color w:val="000000"/>
          <w:sz w:val="20"/>
          <w:lang w:val="es-AR" w:eastAsia="es-ES_tradnl"/>
        </w:rPr>
        <w:t xml:space="preserve"> Embajada de Uruguay ante los Estados Unidos, Washington, D.C., 1913 I Street NW, 20006, Estados Unidos de América; y el Sr. Paul S. Reichler, el Dr. Derek C. Smith, la Sra. Clara E. Brillembourg, la Sra. Tafadzwa Pasipanodya, la Sra. Christina Beharry, el Sr. Diego Cadena, el Sr. Yuri Parkhomenko, la Sra. Madeleine Rodríguez, el Sr. Joseph Klingler, la Sra. Elisa Méndez Brautigam y la Sra. Henrika Missick de López de Foley Hoag LLP, 1717 K Street, N.W., Washington, D.C., 20006, Estados Unidos de América; y la Sra. Diana Paraguacuto-Mahéo y la Dra. </w:t>
      </w:r>
      <w:r w:rsidR="00734CD8" w:rsidRPr="00AB7B88">
        <w:rPr>
          <w:rStyle w:val="Bodytext"/>
          <w:color w:val="000000"/>
          <w:sz w:val="20"/>
          <w:lang w:val="fr-FR" w:eastAsia="es-ES_tradnl"/>
        </w:rPr>
        <w:t>Alejandra Torres Camprubí de Foley Hoag AARPI, 153, rue du Faubourg Saint-Honoré, 75008, París, Francia.</w:t>
      </w:r>
    </w:p>
    <w:p w14:paraId="74BA5F2E" w14:textId="77777777" w:rsidR="003B3957" w:rsidRPr="00AB7B88" w:rsidRDefault="003B3957" w:rsidP="00391762">
      <w:pPr>
        <w:pStyle w:val="Bodytext30"/>
        <w:widowControl w:val="0"/>
        <w:numPr>
          <w:ilvl w:val="0"/>
          <w:numId w:val="3"/>
        </w:numPr>
        <w:shd w:val="clear" w:color="auto" w:fill="auto"/>
        <w:spacing w:before="380" w:after="0" w:line="360" w:lineRule="auto"/>
        <w:ind w:left="340" w:hanging="340"/>
        <w:jc w:val="both"/>
        <w:rPr>
          <w:sz w:val="20"/>
        </w:rPr>
      </w:pPr>
      <w:bookmarkStart w:id="10" w:name="bookmark15"/>
      <w:bookmarkStart w:id="11" w:name="bookmark16"/>
      <w:r w:rsidRPr="00AB7B88">
        <w:rPr>
          <w:rStyle w:val="Bodytext3"/>
          <w:b/>
          <w:bCs/>
          <w:color w:val="000000"/>
          <w:sz w:val="20"/>
          <w:lang w:eastAsia="es-ES_tradnl"/>
        </w:rPr>
        <w:t>La controversia</w:t>
      </w:r>
      <w:bookmarkEnd w:id="10"/>
      <w:bookmarkEnd w:id="11"/>
    </w:p>
    <w:p w14:paraId="2CE26E5C" w14:textId="77777777" w:rsidR="003B3957" w:rsidRPr="00AB7B88" w:rsidRDefault="003B3957" w:rsidP="00800D7E">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La controversia concierne el fracaso de un proyecto de explotación de mineral de hierro en el área de Valentines de la región de Cerro Chato, en Uruguay, conocido como el Proyecto Valentines (el "Proyecto Valentines" o "el Proyecto").</w:t>
      </w:r>
    </w:p>
    <w:p w14:paraId="05B082A3" w14:textId="77777777" w:rsidR="003B3957" w:rsidRPr="00AB7B88" w:rsidRDefault="003B3957" w:rsidP="00800D7E">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Los Demandantes alegan que invirtieron conjuntamente USD 332 millones en la exploración, prospección y examen del área de Valentines de Uruguay con el fin de explotar los recursos de mineral de hierro de la región, principalmente por medio de la empresa Minera Aratirí, S.A. ("Minera Aratirí")</w:t>
      </w:r>
      <w:r w:rsidRPr="00AB7B88">
        <w:rPr>
          <w:rStyle w:val="Bodytext"/>
          <w:color w:val="000000"/>
          <w:sz w:val="20"/>
          <w:vertAlign w:val="superscript"/>
          <w:lang w:eastAsia="es-ES_tradnl"/>
        </w:rPr>
        <w:footnoteReference w:id="1"/>
      </w:r>
      <w:r w:rsidRPr="00AB7B88">
        <w:rPr>
          <w:rStyle w:val="Bodytext"/>
          <w:color w:val="000000"/>
          <w:sz w:val="20"/>
          <w:lang w:val="es-AR" w:eastAsia="es-ES_tradnl"/>
        </w:rPr>
        <w:t xml:space="preserve">. Según los Demandantes, el Gobierno de Uruguay, mediante numerosas acciones y omisiones, retrasó y finalmente </w:t>
      </w:r>
      <w:r w:rsidRPr="00AB7B88">
        <w:rPr>
          <w:rStyle w:val="Bodytext"/>
          <w:color w:val="000000"/>
          <w:sz w:val="20"/>
          <w:lang w:val="es-AR" w:eastAsia="es-ES_tradnl"/>
        </w:rPr>
        <w:lastRenderedPageBreak/>
        <w:t>denegó el otorgamiento de los permisos necesarios para el Proyecto Valentines, lo cual ocasionó la extinción de los derechos mineros de los Demandantes y la expropiación del valor del Proyecto Valentines</w:t>
      </w:r>
      <w:r w:rsidRPr="00AB7B88">
        <w:rPr>
          <w:rStyle w:val="Bodytext"/>
          <w:color w:val="000000"/>
          <w:sz w:val="20"/>
          <w:vertAlign w:val="superscript"/>
          <w:lang w:eastAsia="es-ES_tradnl"/>
        </w:rPr>
        <w:footnoteReference w:id="2"/>
      </w:r>
      <w:r w:rsidRPr="00AB7B88">
        <w:rPr>
          <w:rStyle w:val="Bodytext"/>
          <w:color w:val="000000"/>
          <w:sz w:val="20"/>
          <w:lang w:val="es-AR" w:eastAsia="es-ES_tradnl"/>
        </w:rPr>
        <w:t>. Los Demandantes sostienen que las acciones y omisiones de la Demandada constituyen un incumplimiento del TBI y solicitan una indemnización por los daños y perjuicios que presuntamente sufrieron en consecuencia</w:t>
      </w:r>
      <w:r w:rsidRPr="00AB7B88">
        <w:rPr>
          <w:rStyle w:val="FootnoteReference"/>
          <w:color w:val="000000"/>
          <w:sz w:val="20"/>
          <w:lang w:eastAsia="es-ES_tradnl"/>
        </w:rPr>
        <w:footnoteReference w:id="3"/>
      </w:r>
    </w:p>
    <w:p w14:paraId="5F905811" w14:textId="77777777" w:rsidR="003B3957" w:rsidRPr="00AB7B88" w:rsidRDefault="003B3957" w:rsidP="00391762">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La Demandada sostiene que el fracaso del Proyecto Valentines fue desencadenado por el colapso de los precios del mineral de hierro después de 2011, lo cual ocasionó que el Proyecto perdiera rentabilidad y financiación</w:t>
      </w:r>
      <w:r w:rsidRPr="00AB7B88">
        <w:rPr>
          <w:rStyle w:val="Bodytext"/>
          <w:color w:val="000000"/>
          <w:sz w:val="20"/>
          <w:vertAlign w:val="superscript"/>
          <w:lang w:eastAsia="es-ES_tradnl"/>
        </w:rPr>
        <w:footnoteReference w:id="4"/>
      </w:r>
      <w:r w:rsidRPr="00AB7B88">
        <w:rPr>
          <w:rStyle w:val="Bodytext"/>
          <w:color w:val="000000"/>
          <w:sz w:val="20"/>
          <w:lang w:val="es-AR" w:eastAsia="es-ES_tradnl"/>
        </w:rPr>
        <w:t>, y aduce que brindó todo su apoyo al Proyecto Valentines con la esperanza de verlo triunfar</w:t>
      </w:r>
      <w:r w:rsidRPr="00AB7B88">
        <w:rPr>
          <w:rStyle w:val="Bodytext"/>
          <w:color w:val="000000"/>
          <w:sz w:val="20"/>
          <w:vertAlign w:val="superscript"/>
          <w:lang w:eastAsia="es-ES_tradnl"/>
        </w:rPr>
        <w:footnoteReference w:id="5"/>
      </w:r>
      <w:r w:rsidRPr="00AB7B88">
        <w:rPr>
          <w:rStyle w:val="Bodytext"/>
          <w:color w:val="000000"/>
          <w:sz w:val="20"/>
          <w:lang w:val="es-AR" w:eastAsia="es-ES_tradnl"/>
        </w:rPr>
        <w:t>. La Demandada afirma que los Demandantes no pueden formular una pretensión al amparo del TBI y, de cualquier manera, niegan que haya ocurrido cualquier incumplimiento del TBI</w:t>
      </w:r>
      <w:r w:rsidRPr="00AB7B88">
        <w:rPr>
          <w:rStyle w:val="Bodytext"/>
          <w:color w:val="000000"/>
          <w:sz w:val="20"/>
          <w:vertAlign w:val="superscript"/>
          <w:lang w:eastAsia="es-ES_tradnl"/>
        </w:rPr>
        <w:footnoteReference w:id="6"/>
      </w:r>
      <w:r w:rsidRPr="00AB7B88">
        <w:rPr>
          <w:rStyle w:val="Bodytext"/>
          <w:color w:val="000000"/>
          <w:sz w:val="20"/>
          <w:lang w:val="es-AR" w:eastAsia="es-ES_tradnl"/>
        </w:rPr>
        <w:t>.</w:t>
      </w:r>
    </w:p>
    <w:p w14:paraId="3F8F6E80" w14:textId="77777777" w:rsidR="003B3957" w:rsidRPr="00AB7B88" w:rsidRDefault="003B3957" w:rsidP="00E72B5D">
      <w:pPr>
        <w:pStyle w:val="Bodytext30"/>
        <w:widowControl w:val="0"/>
        <w:numPr>
          <w:ilvl w:val="0"/>
          <w:numId w:val="5"/>
        </w:numPr>
        <w:shd w:val="clear" w:color="auto" w:fill="auto"/>
        <w:spacing w:before="380" w:after="0" w:line="360" w:lineRule="auto"/>
        <w:ind w:left="425" w:hanging="425"/>
        <w:jc w:val="both"/>
        <w:rPr>
          <w:sz w:val="20"/>
        </w:rPr>
      </w:pPr>
      <w:bookmarkStart w:id="12" w:name="bookmark17"/>
      <w:bookmarkStart w:id="13" w:name="bookmark18"/>
      <w:r w:rsidRPr="00AB7B88">
        <w:rPr>
          <w:rStyle w:val="Bodytext3"/>
          <w:b/>
          <w:bCs/>
          <w:color w:val="000000"/>
          <w:sz w:val="20"/>
          <w:lang w:eastAsia="es-ES_tradnl"/>
        </w:rPr>
        <w:t>ANTECEDENTES PROCESALES</w:t>
      </w:r>
      <w:bookmarkEnd w:id="12"/>
      <w:bookmarkEnd w:id="13"/>
    </w:p>
    <w:p w14:paraId="7C8EF4AB" w14:textId="77777777" w:rsidR="003B3957" w:rsidRPr="00AB7B88" w:rsidRDefault="003B3957" w:rsidP="000053F7">
      <w:pPr>
        <w:pStyle w:val="Bodytext30"/>
        <w:widowControl w:val="0"/>
        <w:numPr>
          <w:ilvl w:val="0"/>
          <w:numId w:val="64"/>
        </w:numPr>
        <w:shd w:val="clear" w:color="auto" w:fill="auto"/>
        <w:spacing w:before="380" w:after="0" w:line="360" w:lineRule="auto"/>
        <w:ind w:left="340" w:hanging="340"/>
        <w:jc w:val="both"/>
        <w:rPr>
          <w:sz w:val="20"/>
        </w:rPr>
      </w:pPr>
      <w:bookmarkStart w:id="14" w:name="bookmark19"/>
      <w:bookmarkStart w:id="15" w:name="bookmark20"/>
      <w:r w:rsidRPr="00AB7B88">
        <w:rPr>
          <w:rStyle w:val="Bodytext3"/>
          <w:b/>
          <w:bCs/>
          <w:color w:val="000000"/>
          <w:sz w:val="20"/>
          <w:lang w:eastAsia="es-ES_tradnl"/>
        </w:rPr>
        <w:t>Notificación de disputa</w:t>
      </w:r>
      <w:bookmarkEnd w:id="14"/>
      <w:bookmarkEnd w:id="15"/>
    </w:p>
    <w:p w14:paraId="134D51F7" w14:textId="77777777" w:rsidR="003B3957" w:rsidRPr="00AB7B88" w:rsidRDefault="003B3957" w:rsidP="002154F3">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El 3 de octubre de 2016, los Demandantes notificaron por escrito la existencia de la controversia al presidente del Uruguay (la "Notificación de Disputa")</w:t>
      </w:r>
      <w:r w:rsidRPr="00AB7B88">
        <w:rPr>
          <w:rStyle w:val="Bodytext"/>
          <w:color w:val="000000"/>
          <w:sz w:val="20"/>
          <w:vertAlign w:val="superscript"/>
          <w:lang w:eastAsia="es-ES_tradnl"/>
        </w:rPr>
        <w:footnoteReference w:id="7"/>
      </w:r>
      <w:r w:rsidRPr="00AB7B88">
        <w:rPr>
          <w:rStyle w:val="Bodytext"/>
          <w:color w:val="000000"/>
          <w:sz w:val="20"/>
          <w:lang w:val="es-AR" w:eastAsia="es-ES_tradnl"/>
        </w:rPr>
        <w:t>. En esa misma fecha, la Presidencia de Uruguay acusó recibo de la Notificación de Disputa</w:t>
      </w:r>
      <w:r w:rsidRPr="00AB7B88">
        <w:rPr>
          <w:rStyle w:val="Bodytext"/>
          <w:color w:val="000000"/>
          <w:sz w:val="20"/>
          <w:vertAlign w:val="superscript"/>
          <w:lang w:eastAsia="es-ES_tradnl"/>
        </w:rPr>
        <w:footnoteReference w:id="8"/>
      </w:r>
      <w:r w:rsidRPr="00AB7B88">
        <w:rPr>
          <w:rStyle w:val="Bodytext"/>
          <w:color w:val="000000"/>
          <w:sz w:val="20"/>
          <w:lang w:val="es-AR" w:eastAsia="es-ES_tradnl"/>
        </w:rPr>
        <w:t>. Asimismo, se entregaron copias de dicha notificación a la Ministra de Industria, Energía y Minería, a la Ministra de Vivienda, Ordenamiento Territorial y Medio Ambiente y al Ministro de Defensa Nacional</w:t>
      </w:r>
      <w:r w:rsidRPr="00AB7B88">
        <w:rPr>
          <w:rStyle w:val="FootnoteReference"/>
          <w:rFonts w:cs="Palatino Linotype"/>
          <w:color w:val="000000"/>
          <w:sz w:val="20"/>
          <w:lang w:eastAsia="es-ES_tradnl"/>
        </w:rPr>
        <w:footnoteReference w:id="9"/>
      </w:r>
      <w:r w:rsidRPr="00AB7B88">
        <w:rPr>
          <w:rStyle w:val="Bodytext"/>
          <w:color w:val="000000"/>
          <w:sz w:val="20"/>
          <w:lang w:val="es-AR" w:eastAsia="es-ES_tradnl"/>
        </w:rPr>
        <w:t>.</w:t>
      </w:r>
    </w:p>
    <w:p w14:paraId="184E1E5D" w14:textId="77777777" w:rsidR="003B3957" w:rsidRPr="00AB7B88" w:rsidRDefault="003B3957" w:rsidP="000053F7">
      <w:pPr>
        <w:pStyle w:val="Bodytext30"/>
        <w:widowControl w:val="0"/>
        <w:numPr>
          <w:ilvl w:val="0"/>
          <w:numId w:val="64"/>
        </w:numPr>
        <w:shd w:val="clear" w:color="auto" w:fill="auto"/>
        <w:spacing w:before="380" w:after="0" w:line="360" w:lineRule="auto"/>
        <w:ind w:left="340" w:hanging="340"/>
        <w:jc w:val="both"/>
        <w:rPr>
          <w:sz w:val="20"/>
        </w:rPr>
      </w:pPr>
      <w:bookmarkStart w:id="16" w:name="bookmark21"/>
      <w:bookmarkStart w:id="17" w:name="bookmark22"/>
      <w:r w:rsidRPr="00AB7B88">
        <w:rPr>
          <w:rStyle w:val="Heading2"/>
          <w:rFonts w:ascii="Times New Roman" w:hAnsi="Times New Roman"/>
          <w:color w:val="000000"/>
          <w:sz w:val="20"/>
          <w:lang w:eastAsia="es-ES_tradnl"/>
        </w:rPr>
        <w:t>Inicio del arbitraje</w:t>
      </w:r>
      <w:bookmarkEnd w:id="16"/>
      <w:bookmarkEnd w:id="17"/>
    </w:p>
    <w:p w14:paraId="07EFA104" w14:textId="77777777" w:rsidR="003B3957" w:rsidRPr="00AB7B88" w:rsidRDefault="003B3957" w:rsidP="00777F86">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 xml:space="preserve">Mediante una Notificación de Arbitraje del 19 de julio de 2017 (la "Notificación de Arbitraje"), los Demandantes iniciaron el procedimiento arbitral contra la Demandada de conformidad con el </w:t>
      </w:r>
      <w:r w:rsidRPr="00AB7B88">
        <w:rPr>
          <w:rStyle w:val="Bodytext71"/>
          <w:rFonts w:ascii="Times New Roman" w:hAnsi="Times New Roman"/>
          <w:color w:val="000000"/>
          <w:sz w:val="20"/>
          <w:lang w:val="es-AR" w:eastAsia="es-ES_tradnl"/>
        </w:rPr>
        <w:t>artículo 8 del TBI</w:t>
      </w:r>
      <w:r w:rsidRPr="00AB7B88">
        <w:rPr>
          <w:rStyle w:val="Bodytext61"/>
          <w:rFonts w:ascii="Times New Roman" w:hAnsi="Times New Roman"/>
          <w:color w:val="000000"/>
          <w:sz w:val="20"/>
          <w:lang w:val="es-AR" w:eastAsia="es-ES_tradnl"/>
        </w:rPr>
        <w:t xml:space="preserve"> </w:t>
      </w:r>
      <w:r w:rsidRPr="00AB7B88">
        <w:rPr>
          <w:rStyle w:val="Bodytext"/>
          <w:color w:val="000000"/>
          <w:sz w:val="20"/>
          <w:lang w:val="es-AR" w:eastAsia="es-ES_tradnl"/>
        </w:rPr>
        <w:t xml:space="preserve">y el artículo 3 del Reglamento de arbitraje de la Comisión de las Naciones Unidas para el Derecho </w:t>
      </w:r>
      <w:r w:rsidRPr="00AB7B88">
        <w:rPr>
          <w:rStyle w:val="Bodytext"/>
          <w:color w:val="000000"/>
          <w:sz w:val="20"/>
          <w:lang w:val="es-AR" w:eastAsia="es-ES_tradnl"/>
        </w:rPr>
        <w:lastRenderedPageBreak/>
        <w:t>Mercantil Internacional (revisado en 2013) (el "Reglamento CNUDMI").</w:t>
      </w:r>
    </w:p>
    <w:p w14:paraId="0F00D805" w14:textId="77777777" w:rsidR="00777F86" w:rsidRPr="00AB7B88" w:rsidRDefault="003B3957" w:rsidP="00B603C8">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El 18 de agosto de 2017, la Demandada presentó una respuesta a la Notificación de Arbitraje (la "Respuesta a la Notificación de Arbitraje").</w:t>
      </w:r>
    </w:p>
    <w:p w14:paraId="2E6BE8D2" w14:textId="77777777" w:rsidR="003B3957" w:rsidRPr="00AB7B88" w:rsidRDefault="003B3957" w:rsidP="000053F7">
      <w:pPr>
        <w:pStyle w:val="Bodytext30"/>
        <w:widowControl w:val="0"/>
        <w:numPr>
          <w:ilvl w:val="0"/>
          <w:numId w:val="64"/>
        </w:numPr>
        <w:shd w:val="clear" w:color="auto" w:fill="auto"/>
        <w:spacing w:before="380" w:after="0" w:line="360" w:lineRule="auto"/>
        <w:ind w:left="340" w:hanging="340"/>
        <w:jc w:val="both"/>
        <w:rPr>
          <w:sz w:val="20"/>
        </w:rPr>
      </w:pPr>
      <w:bookmarkStart w:id="18" w:name="bookmark23"/>
      <w:bookmarkStart w:id="19" w:name="bookmark24"/>
      <w:r w:rsidRPr="00AB7B88">
        <w:rPr>
          <w:rStyle w:val="Heading2"/>
          <w:rFonts w:ascii="Times New Roman" w:hAnsi="Times New Roman"/>
          <w:color w:val="000000"/>
          <w:sz w:val="20"/>
          <w:lang w:eastAsia="es-ES_tradnl"/>
        </w:rPr>
        <w:t>Constitución del Tribunal</w:t>
      </w:r>
      <w:bookmarkEnd w:id="18"/>
      <w:bookmarkEnd w:id="19"/>
    </w:p>
    <w:p w14:paraId="7CCF922F" w14:textId="77777777" w:rsidR="00777F86" w:rsidRPr="00AB7B88" w:rsidRDefault="00777F86" w:rsidP="00777F86">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En su Notificación de Arbitraje, los Demandantes nombraron al juez O. Thomas Johnson, nacional de los Estados Unidos de América, como el primer árbitro.</w:t>
      </w:r>
    </w:p>
    <w:p w14:paraId="4228035E" w14:textId="77777777" w:rsidR="004B4A59" w:rsidRPr="00AB7B88" w:rsidRDefault="003B3957" w:rsidP="004B4A59">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En su respuesta a la Notificación de Arbitraje, la Demandada nombró al profesor Pierre Mayer, nacional de Francia, como el segundo árbitro.</w:t>
      </w:r>
    </w:p>
    <w:p w14:paraId="14161560" w14:textId="77777777" w:rsidR="003B3957" w:rsidRPr="00AB7B88" w:rsidRDefault="003B3957" w:rsidP="004B4A59">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El 17 de noviembre de 2017, los coárbitros designaron al Dr. Andrés Rigo Sureda, nacional de España, como árbitro presidente.</w:t>
      </w:r>
    </w:p>
    <w:p w14:paraId="2E3ED0C1" w14:textId="77777777" w:rsidR="003B3957" w:rsidRPr="00AB7B88" w:rsidRDefault="003B3957" w:rsidP="000053F7">
      <w:pPr>
        <w:pStyle w:val="Bodytext30"/>
        <w:widowControl w:val="0"/>
        <w:numPr>
          <w:ilvl w:val="0"/>
          <w:numId w:val="64"/>
        </w:numPr>
        <w:shd w:val="clear" w:color="auto" w:fill="auto"/>
        <w:spacing w:before="380" w:after="0" w:line="360" w:lineRule="auto"/>
        <w:ind w:left="340" w:hanging="340"/>
        <w:jc w:val="both"/>
        <w:rPr>
          <w:sz w:val="20"/>
        </w:rPr>
      </w:pPr>
      <w:bookmarkStart w:id="20" w:name="bookmark25"/>
      <w:bookmarkStart w:id="21" w:name="bookmark26"/>
      <w:r w:rsidRPr="00AB7B88">
        <w:rPr>
          <w:rStyle w:val="Heading2"/>
          <w:rFonts w:ascii="Times New Roman" w:hAnsi="Times New Roman"/>
          <w:color w:val="000000"/>
          <w:sz w:val="20"/>
          <w:lang w:eastAsia="es-ES_tradnl"/>
        </w:rPr>
        <w:t>Aprobación del Acta de Constitución</w:t>
      </w:r>
      <w:bookmarkEnd w:id="20"/>
      <w:bookmarkEnd w:id="21"/>
    </w:p>
    <w:p w14:paraId="3ADB3D87" w14:textId="77777777" w:rsidR="00784FFA" w:rsidRPr="00AB7B88" w:rsidRDefault="003B3957" w:rsidP="00784FFA">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El 6 de febrero de 2018 se aprobó el Acta de Constitución.</w:t>
      </w:r>
    </w:p>
    <w:p w14:paraId="07D42D7A" w14:textId="77777777" w:rsidR="00B50C1C" w:rsidRPr="00AB7B88" w:rsidRDefault="003B3957" w:rsidP="000B2C28">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Conforme a la sección 5.1 del Acta de Constitución, la sede del arbitraje es París (Francia).</w:t>
      </w:r>
    </w:p>
    <w:p w14:paraId="71E15518" w14:textId="77777777" w:rsidR="000E263A" w:rsidRPr="00AB7B88" w:rsidRDefault="003B3957" w:rsidP="000E263A">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Conforme a la sección 6.1 del Acta de Constitución, los idiomas del arbitraje son el inglés y el español.</w:t>
      </w:r>
    </w:p>
    <w:p w14:paraId="6C8A6743" w14:textId="77777777" w:rsidR="003B3957" w:rsidRPr="00AB7B88" w:rsidRDefault="003B3957" w:rsidP="000E263A">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Conforme a la sección 7.1 del Acta de Constitución, la Corte Permanente de Arbitraje (la "CPA") administra este procedimiento.</w:t>
      </w:r>
    </w:p>
    <w:p w14:paraId="14A864C3" w14:textId="77777777" w:rsidR="003B3957" w:rsidRPr="00AB7B88" w:rsidRDefault="003B3957" w:rsidP="000053F7">
      <w:pPr>
        <w:pStyle w:val="Bodytext30"/>
        <w:widowControl w:val="0"/>
        <w:numPr>
          <w:ilvl w:val="0"/>
          <w:numId w:val="64"/>
        </w:numPr>
        <w:shd w:val="clear" w:color="auto" w:fill="auto"/>
        <w:spacing w:before="380" w:after="0" w:line="360" w:lineRule="auto"/>
        <w:ind w:left="340" w:hanging="340"/>
        <w:jc w:val="both"/>
        <w:rPr>
          <w:sz w:val="20"/>
          <w:lang w:val="es-AR"/>
        </w:rPr>
      </w:pPr>
      <w:bookmarkStart w:id="22" w:name="bookmark27"/>
      <w:r w:rsidRPr="00AB7B88">
        <w:rPr>
          <w:rStyle w:val="Heading2"/>
          <w:rFonts w:ascii="Times New Roman" w:hAnsi="Times New Roman"/>
          <w:color w:val="000000"/>
          <w:sz w:val="20"/>
          <w:lang w:val="es-AR" w:eastAsia="es-ES_tradnl"/>
        </w:rPr>
        <w:t>Versión aplicable del Reglamento de arbitraje de la CNUDMI (Orden Procesal NO. 1)</w:t>
      </w:r>
      <w:bookmarkEnd w:id="22"/>
    </w:p>
    <w:p w14:paraId="1B2E4437" w14:textId="77777777" w:rsidR="003B3957" w:rsidRPr="00AB7B88" w:rsidRDefault="003B3957" w:rsidP="000E263A">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El 1 de marzo de 2018, de conformidad con la sección 4.1 del Acta de Constitución y la carta del Tribunal a las Partes del 8 de febrero de 2018, las Partes presentaron simultáneamente sus escritos respecto de la versión aplicable del Reglamento de arbitraje de la CNUDMI.</w:t>
      </w:r>
    </w:p>
    <w:p w14:paraId="58FBAE5F" w14:textId="77777777" w:rsidR="003B3957" w:rsidRPr="00AB7B88" w:rsidRDefault="003B3957" w:rsidP="000E263A">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El 26 de marzo de 2018, el Tribunal expidió la Orden Procesal No. 1, mediante la cual decidió que el Reglamento de arbitraje de la CNUDMI, revisado en 2013, rige este arbitraje.</w:t>
      </w:r>
    </w:p>
    <w:p w14:paraId="4A5D5BC9" w14:textId="77777777" w:rsidR="003B3957" w:rsidRPr="00AB7B88" w:rsidRDefault="003B3957" w:rsidP="000053F7">
      <w:pPr>
        <w:pStyle w:val="Bodytext30"/>
        <w:widowControl w:val="0"/>
        <w:numPr>
          <w:ilvl w:val="0"/>
          <w:numId w:val="64"/>
        </w:numPr>
        <w:shd w:val="clear" w:color="auto" w:fill="auto"/>
        <w:spacing w:before="380" w:after="0" w:line="360" w:lineRule="auto"/>
        <w:ind w:left="340" w:hanging="340"/>
        <w:jc w:val="both"/>
        <w:rPr>
          <w:sz w:val="20"/>
          <w:lang w:val="es-AR"/>
        </w:rPr>
      </w:pPr>
      <w:bookmarkStart w:id="23" w:name="bookmark28"/>
      <w:bookmarkStart w:id="24" w:name="bookmark29"/>
      <w:r w:rsidRPr="00AB7B88">
        <w:rPr>
          <w:rStyle w:val="Heading2"/>
          <w:rFonts w:ascii="Times New Roman" w:hAnsi="Times New Roman"/>
          <w:color w:val="000000"/>
          <w:sz w:val="20"/>
          <w:lang w:val="es-AR" w:eastAsia="es-ES_tradnl"/>
        </w:rPr>
        <w:lastRenderedPageBreak/>
        <w:t>Aprobación de las Reglas de procedimiento y el Calendario procesal (Orden Procesal No. 2)</w:t>
      </w:r>
      <w:bookmarkEnd w:id="23"/>
      <w:bookmarkEnd w:id="24"/>
    </w:p>
    <w:p w14:paraId="7A970FB9" w14:textId="77777777" w:rsidR="003B3957" w:rsidRPr="00AB7B88" w:rsidRDefault="003B3957" w:rsidP="000E263A">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El 8 de febrero de 2019, el Tribunal hizo circular un borrador de la Orden Procesal No. 1 e invitó a las Partes a expresar comentarios sobre la misma</w:t>
      </w:r>
      <w:r w:rsidRPr="00AB7B88">
        <w:rPr>
          <w:rStyle w:val="Bodytext"/>
          <w:color w:val="000000"/>
          <w:sz w:val="20"/>
          <w:vertAlign w:val="superscript"/>
          <w:lang w:eastAsia="es-ES_tradnl"/>
        </w:rPr>
        <w:footnoteReference w:id="10"/>
      </w:r>
      <w:r w:rsidRPr="00AB7B88">
        <w:rPr>
          <w:rStyle w:val="Bodytext"/>
          <w:color w:val="000000"/>
          <w:sz w:val="20"/>
          <w:lang w:val="es-AR" w:eastAsia="es-ES_tradnl"/>
        </w:rPr>
        <w:t>, los cuales se presentaron el 23 de marzo de</w:t>
      </w:r>
      <w:r w:rsidR="000E263A" w:rsidRPr="00AB7B88">
        <w:rPr>
          <w:rStyle w:val="Bodytext"/>
          <w:color w:val="000000"/>
          <w:sz w:val="20"/>
          <w:lang w:val="es-AR" w:eastAsia="es-ES_tradnl"/>
        </w:rPr>
        <w:t xml:space="preserve"> </w:t>
      </w:r>
      <w:r w:rsidRPr="00AB7B88">
        <w:rPr>
          <w:rStyle w:val="Bodytext"/>
          <w:color w:val="000000"/>
          <w:sz w:val="20"/>
          <w:lang w:val="es-AR" w:eastAsia="es-ES_tradnl"/>
        </w:rPr>
        <w:t>2018.</w:t>
      </w:r>
    </w:p>
    <w:p w14:paraId="10432705" w14:textId="77777777" w:rsidR="003B3957" w:rsidRPr="00AB7B88" w:rsidRDefault="003B3957" w:rsidP="004B2EFB">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El 12 de abril de 2018, el Tribunal y las Partes celebraron una primera reunión procesal por medio de una conferencia telefónica, tras la cual el Tribunal emitió la Orden Procesal No. 2 el 24 de abril de 2018. El 4 de febrero de 2019, se enmendó la sección 5.4 de la Orden Procesal No. 2 conforme a la solicitud conjunta de las Partes.</w:t>
      </w:r>
    </w:p>
    <w:p w14:paraId="7B3C9333" w14:textId="77777777" w:rsidR="003B3957" w:rsidRPr="00AB7B88" w:rsidRDefault="003B3957" w:rsidP="004B2EFB">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De conformidad con la sección 4.3 de la Orden Procesal No. 2, el presente Laudo se emite en inglés y se acompaña de una traducción al español. Si bien no hay acuerdo de las Partes, ni decisión del Tribunal, en el sentido de que un idioma del arbitraje deba prevalecer sobre el otro, el Tribunal observa que el idioma empleado principalmente en las comunicaciones de este procedimiento y en la Audiencia, tanto por las Partes como por el Tribunal, fue el inglés, el cual es también el idioma común de trabajo de los miembros del Tribunal. Por ello, y en aras de la eficiencia, este Laudo ha sido redactado en inglés y luego traducido al español.</w:t>
      </w:r>
    </w:p>
    <w:p w14:paraId="5DE8080F" w14:textId="77777777" w:rsidR="003B3957" w:rsidRPr="00AB7B88" w:rsidRDefault="003B3957" w:rsidP="000053F7">
      <w:pPr>
        <w:pStyle w:val="Bodytext30"/>
        <w:widowControl w:val="0"/>
        <w:numPr>
          <w:ilvl w:val="0"/>
          <w:numId w:val="64"/>
        </w:numPr>
        <w:shd w:val="clear" w:color="auto" w:fill="auto"/>
        <w:spacing w:before="380" w:after="0" w:line="360" w:lineRule="auto"/>
        <w:ind w:left="340" w:hanging="340"/>
        <w:jc w:val="both"/>
        <w:rPr>
          <w:sz w:val="20"/>
          <w:lang w:val="es-AR"/>
        </w:rPr>
      </w:pPr>
      <w:bookmarkStart w:id="25" w:name="bookmark30"/>
      <w:bookmarkStart w:id="26" w:name="bookmark31"/>
      <w:r w:rsidRPr="00AB7B88">
        <w:rPr>
          <w:rStyle w:val="Heading2"/>
          <w:rFonts w:ascii="Times New Roman" w:hAnsi="Times New Roman"/>
          <w:color w:val="000000"/>
          <w:sz w:val="20"/>
          <w:lang w:val="es-AR" w:eastAsia="es-ES_tradnl"/>
        </w:rPr>
        <w:t>ORDEN DE ABSTENERSE DE DIVULGAR EL ESCRITO DE DEMANDA (ORDEN PROCESAL NO. 3)</w:t>
      </w:r>
      <w:bookmarkEnd w:id="25"/>
      <w:bookmarkEnd w:id="26"/>
    </w:p>
    <w:p w14:paraId="2989FD18" w14:textId="77777777" w:rsidR="003B3957" w:rsidRPr="00AB7B88" w:rsidRDefault="003B3957" w:rsidP="00551272">
      <w:pPr>
        <w:pStyle w:val="Bodytext1"/>
        <w:numPr>
          <w:ilvl w:val="0"/>
          <w:numId w:val="4"/>
        </w:numPr>
        <w:shd w:val="clear" w:color="auto" w:fill="auto"/>
        <w:tabs>
          <w:tab w:val="left" w:pos="534"/>
        </w:tabs>
        <w:spacing w:before="380" w:line="360" w:lineRule="auto"/>
        <w:ind w:left="522" w:hanging="522"/>
        <w:jc w:val="both"/>
        <w:rPr>
          <w:sz w:val="20"/>
          <w:lang w:val="es-AR"/>
        </w:rPr>
      </w:pPr>
      <w:r w:rsidRPr="00AB7B88">
        <w:rPr>
          <w:rStyle w:val="Bodytext"/>
          <w:color w:val="000000"/>
          <w:sz w:val="20"/>
          <w:lang w:val="es-AR" w:eastAsia="es-ES_tradnl"/>
        </w:rPr>
        <w:t>Mediante carta del 20 de diciembre de 2018, la Demandada: i) informó al Tribunal de que, mediante sentencia de fecha 19 de diciembre de 2018, un tribunal uruguayo había ordenado a la Demandada que brindase acceso al Escrito de Demanda de los Demandantes, de fecha 3 de julio de 2018, (el "</w:t>
      </w:r>
      <w:r w:rsidRPr="00AB7B88">
        <w:rPr>
          <w:rStyle w:val="Bodytext"/>
          <w:b/>
          <w:color w:val="000000"/>
          <w:sz w:val="20"/>
          <w:lang w:val="es-AR" w:eastAsia="es-ES_tradnl"/>
        </w:rPr>
        <w:t>Escrito de</w:t>
      </w:r>
      <w:r w:rsidRPr="00AB7B88">
        <w:rPr>
          <w:rStyle w:val="Bodytext"/>
          <w:color w:val="000000"/>
          <w:sz w:val="20"/>
          <w:lang w:val="es-AR" w:eastAsia="es-ES_tradnl"/>
        </w:rPr>
        <w:t xml:space="preserve"> Demanda") a terceros ajenos al presente arbitraje; ii) manifestó que realizar dicha revelación conllevaría la violación de la sección 11.3 de la Orden Procesal No. 2; y iii) solicitó que el Tribunal se pronunciase en referencia a si la Demandada debía abstenerse de brindar acceso al</w:t>
      </w:r>
      <w:r w:rsidR="00551272" w:rsidRPr="00AB7B88">
        <w:rPr>
          <w:sz w:val="20"/>
          <w:lang w:val="es-AR"/>
        </w:rPr>
        <w:t xml:space="preserve"> </w:t>
      </w:r>
      <w:r w:rsidRPr="00AB7B88">
        <w:rPr>
          <w:rStyle w:val="Bodytext"/>
          <w:color w:val="000000"/>
          <w:sz w:val="20"/>
          <w:lang w:val="es-AR" w:eastAsia="es-ES_tradnl"/>
        </w:rPr>
        <w:t>Escrito de Demanda a terceros.</w:t>
      </w:r>
    </w:p>
    <w:p w14:paraId="2DBF4CCC" w14:textId="77777777" w:rsidR="003B3957" w:rsidRPr="00AB7B88" w:rsidRDefault="003B3957" w:rsidP="00551272">
      <w:pPr>
        <w:pStyle w:val="Bodytext1"/>
        <w:numPr>
          <w:ilvl w:val="0"/>
          <w:numId w:val="4"/>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El 27 de diciembre de 2018, los Demandantes presentaron comentarios sobre la carta de la Demandada del 20 de diciembre de 2019.</w:t>
      </w:r>
    </w:p>
    <w:p w14:paraId="1EF2081A" w14:textId="77777777" w:rsidR="003B3957" w:rsidRPr="00AB7B88" w:rsidRDefault="003B3957" w:rsidP="00551272">
      <w:pPr>
        <w:pStyle w:val="Bodytext1"/>
        <w:numPr>
          <w:ilvl w:val="0"/>
          <w:numId w:val="4"/>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 xml:space="preserve">El 31 de diciembre de 2018, el Tribunal emitió la Orden Procesal No. 3, mediante la cual declaró que toda divulgación del Escrito de Demanda a terceros ajenos a este arbitraje constituiría una violación de la sección </w:t>
      </w:r>
      <w:r w:rsidRPr="00AB7B88">
        <w:rPr>
          <w:rStyle w:val="Bodytext"/>
          <w:color w:val="000000"/>
          <w:sz w:val="20"/>
          <w:lang w:val="es-AR" w:eastAsia="es-ES_tradnl"/>
        </w:rPr>
        <w:lastRenderedPageBreak/>
        <w:t>11.3 de la Orden Procesal No. 2 y ordenó a la Demandada que se abstuviera de revelar el Escrito de Demanda a terceros ajenos al presente arbitraje.</w:t>
      </w:r>
    </w:p>
    <w:p w14:paraId="462D86B1" w14:textId="77777777" w:rsidR="003B3957" w:rsidRPr="00AB7B88" w:rsidRDefault="003B3957" w:rsidP="00551272">
      <w:pPr>
        <w:pStyle w:val="Bodytext1"/>
        <w:numPr>
          <w:ilvl w:val="0"/>
          <w:numId w:val="4"/>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Mediante carta del 1 de marzo de 2019, la Demandada informó al Tribunal de que, el 26 de febrero de 2019, el Tribunal de Apelaciones en lo Civil de 2o Tumo emitió una sentencia unánime que revocó la sentencia de primera instancia que había ordenado divulgar el Escrito de Demanda.</w:t>
      </w:r>
    </w:p>
    <w:p w14:paraId="5B950572" w14:textId="77777777" w:rsidR="003B3957" w:rsidRPr="00AB7B88" w:rsidRDefault="003B3957" w:rsidP="000053F7">
      <w:pPr>
        <w:pStyle w:val="Bodytext30"/>
        <w:widowControl w:val="0"/>
        <w:numPr>
          <w:ilvl w:val="0"/>
          <w:numId w:val="64"/>
        </w:numPr>
        <w:shd w:val="clear" w:color="auto" w:fill="auto"/>
        <w:spacing w:before="380" w:after="0" w:line="360" w:lineRule="auto"/>
        <w:ind w:left="340" w:hanging="340"/>
        <w:jc w:val="both"/>
        <w:rPr>
          <w:sz w:val="20"/>
          <w:lang w:val="es-AR"/>
        </w:rPr>
      </w:pPr>
      <w:bookmarkStart w:id="27" w:name="bookmark32"/>
      <w:bookmarkStart w:id="28" w:name="bookmark33"/>
      <w:r w:rsidRPr="00AB7B88">
        <w:rPr>
          <w:rStyle w:val="Heading2"/>
          <w:rFonts w:ascii="Times New Roman" w:hAnsi="Times New Roman"/>
          <w:color w:val="000000"/>
          <w:sz w:val="20"/>
          <w:lang w:val="es-AR" w:eastAsia="es-ES_tradnl"/>
        </w:rPr>
        <w:t>Solicitudes de exhibición de documentos (Orden Procesal No. 4)</w:t>
      </w:r>
      <w:bookmarkEnd w:id="27"/>
      <w:bookmarkEnd w:id="28"/>
    </w:p>
    <w:p w14:paraId="7EFEDBC0" w14:textId="77777777" w:rsidR="003B3957" w:rsidRPr="00AB7B88" w:rsidRDefault="003B3957" w:rsidP="00551272">
      <w:pPr>
        <w:pStyle w:val="Bodytext1"/>
        <w:numPr>
          <w:ilvl w:val="0"/>
          <w:numId w:val="4"/>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El 22 de marzo de 2019, las Partes presentaron su informe conjunto sobre la exhibición de documentos y sus respectivos Cronogramas Redfem, al tiempo que solicitaron que el Tribunal decidiera sobre todas las solicitudes de exhibición de documentos pendientes.</w:t>
      </w:r>
    </w:p>
    <w:p w14:paraId="12413FD3" w14:textId="77777777" w:rsidR="003B3957" w:rsidRPr="00AB7B88" w:rsidRDefault="003B3957" w:rsidP="00551272">
      <w:pPr>
        <w:pStyle w:val="Bodytext1"/>
        <w:numPr>
          <w:ilvl w:val="0"/>
          <w:numId w:val="4"/>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El 19 de abril de 2019, el Tribunal emitió la Orden Procesal No. 4, en la que comunicó sus decisiones sobre las solicitudes de exhibición de documentos de las Partes.</w:t>
      </w:r>
    </w:p>
    <w:p w14:paraId="6C3A4ADB" w14:textId="77777777" w:rsidR="003B3957" w:rsidRPr="00AB7B88" w:rsidRDefault="003B3957" w:rsidP="000053F7">
      <w:pPr>
        <w:pStyle w:val="Bodytext30"/>
        <w:widowControl w:val="0"/>
        <w:numPr>
          <w:ilvl w:val="0"/>
          <w:numId w:val="64"/>
        </w:numPr>
        <w:shd w:val="clear" w:color="auto" w:fill="auto"/>
        <w:spacing w:before="380" w:after="0" w:line="360" w:lineRule="auto"/>
        <w:ind w:left="340" w:hanging="340"/>
        <w:jc w:val="both"/>
        <w:rPr>
          <w:sz w:val="20"/>
        </w:rPr>
      </w:pPr>
      <w:bookmarkStart w:id="29" w:name="bookmark34"/>
      <w:bookmarkStart w:id="30" w:name="bookmark35"/>
      <w:r w:rsidRPr="00AB7B88">
        <w:rPr>
          <w:rStyle w:val="Heading2"/>
          <w:rFonts w:ascii="Times New Roman" w:hAnsi="Times New Roman"/>
          <w:color w:val="000000"/>
          <w:sz w:val="20"/>
          <w:lang w:eastAsia="es-ES_tradnl"/>
        </w:rPr>
        <w:t>Escritos</w:t>
      </w:r>
      <w:bookmarkEnd w:id="29"/>
      <w:bookmarkEnd w:id="30"/>
    </w:p>
    <w:p w14:paraId="13569F29" w14:textId="77777777" w:rsidR="003B3957" w:rsidRPr="00AB7B88" w:rsidRDefault="003B3957" w:rsidP="004A198B">
      <w:pPr>
        <w:pStyle w:val="Bodytext1"/>
        <w:numPr>
          <w:ilvl w:val="0"/>
          <w:numId w:val="1"/>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El 28 de junio de 2018, los Demandantes solicitaron una prórroga hasta el 3 de julio de 2018 para presentar el Escrito de Demanda, el cual, conforme al calendario procesal en vigor en ese momento, debía presentar el 29 de junio de 2018. Como parte de su solicitud, los Demandantes observaron lo siguiente:</w:t>
      </w:r>
    </w:p>
    <w:p w14:paraId="7D249513" w14:textId="77777777" w:rsidR="003B3957" w:rsidRPr="00AB7B88" w:rsidRDefault="003B3957" w:rsidP="000D2EF2">
      <w:pPr>
        <w:pStyle w:val="Bodytext1"/>
        <w:shd w:val="clear" w:color="auto" w:fill="auto"/>
        <w:spacing w:before="0" w:line="360" w:lineRule="auto"/>
        <w:ind w:left="522" w:firstLine="0"/>
        <w:jc w:val="both"/>
        <w:rPr>
          <w:sz w:val="20"/>
          <w:lang w:val="es-AR"/>
        </w:rPr>
      </w:pPr>
      <w:r w:rsidRPr="00AB7B88">
        <w:rPr>
          <w:rStyle w:val="Bodytext"/>
          <w:color w:val="000000"/>
          <w:sz w:val="20"/>
          <w:lang w:val="es-AR" w:eastAsia="es-ES_tradnl"/>
        </w:rPr>
        <w:t>Los Demandantes han consultado con los abogados de la Demandada sobre si la Demandada aceptaría esta solicitud de una breve prórroga. Los abogados de la Demandada nos han informado que no han recibido aún una respuesta de su cliente. En aras del tiempo, los Demandantes presentan respetuosamente esta solicitud al Tribunal en este momento y han informado al respecto a los abogados de la Demandada, (traducción del Tribunal)</w:t>
      </w:r>
    </w:p>
    <w:p w14:paraId="7F77E80B" w14:textId="77777777" w:rsidR="003B3957" w:rsidRPr="00AB7B88" w:rsidRDefault="003B3957" w:rsidP="004A198B">
      <w:pPr>
        <w:pStyle w:val="Bodytext1"/>
        <w:numPr>
          <w:ilvl w:val="0"/>
          <w:numId w:val="1"/>
        </w:numPr>
        <w:shd w:val="clear" w:color="auto" w:fill="auto"/>
        <w:tabs>
          <w:tab w:val="left" w:pos="518"/>
        </w:tabs>
        <w:spacing w:before="380" w:line="360" w:lineRule="auto"/>
        <w:ind w:left="520" w:hanging="520"/>
        <w:jc w:val="both"/>
        <w:rPr>
          <w:rStyle w:val="Bodytext"/>
          <w:sz w:val="20"/>
          <w:lang w:val="es-AR"/>
        </w:rPr>
      </w:pPr>
      <w:r w:rsidRPr="00AB7B88">
        <w:rPr>
          <w:rStyle w:val="Bodytext"/>
          <w:color w:val="000000"/>
          <w:sz w:val="20"/>
          <w:lang w:val="es-AR" w:eastAsia="es-ES_tradnl"/>
        </w:rPr>
        <w:t>El 29 de junio de 2018, el Tribunal concedió la prórroga solicitada por los Demandantes y observó que consideraría de modo favorable solicitudes similares de la Demandada. El Tribunal también indicó a las Partes que deberían evitar solicitudes de prórrogas de Última hora, las cuales deberían formularse, a más tardar, una semana antes de la fecha fijada para cualquier presentación.</w:t>
      </w:r>
    </w:p>
    <w:p w14:paraId="360DEECC" w14:textId="77777777" w:rsidR="004A198B" w:rsidRPr="00AB7B88" w:rsidRDefault="003B3957" w:rsidP="004A198B">
      <w:pPr>
        <w:pStyle w:val="Bodytext1"/>
        <w:numPr>
          <w:ilvl w:val="0"/>
          <w:numId w:val="1"/>
        </w:numPr>
        <w:shd w:val="clear" w:color="auto" w:fill="auto"/>
        <w:tabs>
          <w:tab w:val="left" w:pos="518"/>
        </w:tabs>
        <w:spacing w:before="380" w:line="360" w:lineRule="auto"/>
        <w:ind w:left="520" w:hanging="520"/>
        <w:jc w:val="both"/>
        <w:rPr>
          <w:sz w:val="20"/>
          <w:lang w:val="es-AR"/>
        </w:rPr>
      </w:pPr>
      <w:r w:rsidRPr="00AB7B88">
        <w:rPr>
          <w:rStyle w:val="Bodytext"/>
          <w:color w:val="000000"/>
          <w:sz w:val="20"/>
          <w:lang w:val="es-AR" w:eastAsia="es-ES_tradnl"/>
        </w:rPr>
        <w:t xml:space="preserve">Mediante carta del 2 de julio de 2018, la Demandada presentó comentarios respecto de la prórroga del plazo concedida por el Tribunal, observando, entre otros puntos, los siguientes: i) la prórroga se concedió sin escuchar a la Demandada; ii) en consecuencia, la prórroga constituyó una violación "del orden procesal", del "principio de contradicción" y del "principio de igualdad"; y iii) solicitó que la decisión del Tribunal de </w:t>
      </w:r>
      <w:r w:rsidRPr="00AB7B88">
        <w:rPr>
          <w:rStyle w:val="Bodytext"/>
          <w:color w:val="000000"/>
          <w:sz w:val="20"/>
          <w:lang w:val="es-AR" w:eastAsia="es-ES_tradnl"/>
        </w:rPr>
        <w:lastRenderedPageBreak/>
        <w:t>conceder una prórroga fuera anulada y que el Tribunal reestableciera "el buen derecho conculcado".</w:t>
      </w:r>
    </w:p>
    <w:p w14:paraId="4F8EEB3D" w14:textId="77777777" w:rsidR="004A198B" w:rsidRPr="00AB7B88" w:rsidRDefault="003B3957" w:rsidP="004A198B">
      <w:pPr>
        <w:pStyle w:val="Bodytext1"/>
        <w:numPr>
          <w:ilvl w:val="0"/>
          <w:numId w:val="1"/>
        </w:numPr>
        <w:shd w:val="clear" w:color="auto" w:fill="auto"/>
        <w:tabs>
          <w:tab w:val="left" w:pos="518"/>
        </w:tabs>
        <w:spacing w:before="380" w:line="360" w:lineRule="auto"/>
        <w:ind w:left="520" w:hanging="520"/>
        <w:jc w:val="both"/>
        <w:rPr>
          <w:sz w:val="20"/>
          <w:lang w:val="es-AR"/>
        </w:rPr>
      </w:pPr>
      <w:r w:rsidRPr="00AB7B88">
        <w:rPr>
          <w:rStyle w:val="Bodytext"/>
          <w:color w:val="000000"/>
          <w:sz w:val="20"/>
          <w:lang w:val="es-AR" w:eastAsia="es-ES_tradnl"/>
        </w:rPr>
        <w:t>El 3 de julio de 2018, los Demandantes presentaron su Escrito de Demanda.</w:t>
      </w:r>
    </w:p>
    <w:p w14:paraId="38E368EA" w14:textId="77777777" w:rsidR="003B3957" w:rsidRPr="00AB7B88" w:rsidRDefault="003B3957" w:rsidP="000B2C28">
      <w:pPr>
        <w:pStyle w:val="Bodytext1"/>
        <w:numPr>
          <w:ilvl w:val="0"/>
          <w:numId w:val="1"/>
        </w:numPr>
        <w:shd w:val="clear" w:color="auto" w:fill="auto"/>
        <w:tabs>
          <w:tab w:val="left" w:pos="518"/>
        </w:tabs>
        <w:spacing w:before="380" w:line="360" w:lineRule="auto"/>
        <w:ind w:left="520" w:hanging="520"/>
        <w:jc w:val="both"/>
        <w:rPr>
          <w:sz w:val="20"/>
          <w:lang w:val="es-AR"/>
        </w:rPr>
      </w:pPr>
      <w:r w:rsidRPr="00AB7B88">
        <w:rPr>
          <w:rStyle w:val="Bodytext"/>
          <w:color w:val="000000"/>
          <w:sz w:val="20"/>
          <w:lang w:val="es-AR" w:eastAsia="es-ES_tradnl"/>
        </w:rPr>
        <w:t>Mediante carta del 5 de julio de 2018, el Tribunal comunicó las siguientes observaciones respecto de su decisión del 29 de junio de 2018 sobre la concesión de una prórroga para la presentación del Escrito de Demanda:</w:t>
      </w:r>
    </w:p>
    <w:p w14:paraId="073CA61D" w14:textId="77777777" w:rsidR="003B3957" w:rsidRPr="00AB7B88" w:rsidRDefault="003B3957" w:rsidP="000D2EF2">
      <w:pPr>
        <w:pStyle w:val="Bodytext1"/>
        <w:shd w:val="clear" w:color="auto" w:fill="auto"/>
        <w:spacing w:before="0" w:line="360" w:lineRule="auto"/>
        <w:ind w:left="522" w:right="23" w:firstLine="0"/>
        <w:jc w:val="both"/>
        <w:rPr>
          <w:sz w:val="20"/>
          <w:lang w:val="es-AR"/>
        </w:rPr>
      </w:pPr>
      <w:r w:rsidRPr="00AB7B88">
        <w:rPr>
          <w:rStyle w:val="Bodytext"/>
          <w:color w:val="000000"/>
          <w:sz w:val="20"/>
          <w:lang w:val="es-AR" w:eastAsia="es-ES_tradnl"/>
        </w:rPr>
        <w:t>El Tribunal observa que la citada prórroga se concedió de conformidad con la sección 5.7 de la Orden Procesal No. 2, la cual reza:</w:t>
      </w:r>
    </w:p>
    <w:p w14:paraId="3CBD567D" w14:textId="77777777" w:rsidR="003B3957" w:rsidRPr="00AB7B88" w:rsidRDefault="003B3957" w:rsidP="0011374D">
      <w:pPr>
        <w:pStyle w:val="Bodytext1"/>
        <w:shd w:val="clear" w:color="auto" w:fill="auto"/>
        <w:spacing w:before="380" w:line="360" w:lineRule="auto"/>
        <w:ind w:left="520" w:right="20" w:firstLine="0"/>
        <w:jc w:val="both"/>
        <w:rPr>
          <w:sz w:val="20"/>
          <w:lang w:val="es-AR"/>
        </w:rPr>
      </w:pPr>
      <w:r w:rsidRPr="00AB7B88">
        <w:rPr>
          <w:rStyle w:val="Bodytext"/>
          <w:color w:val="000000"/>
          <w:sz w:val="20"/>
          <w:lang w:val="es-AR" w:eastAsia="es-ES_tradnl"/>
        </w:rPr>
        <w:t>5.7 Las Partes podrán acordar prórrogas de los plazos del arbitraje, o el Tribunal podrá concederlas por motivos justificados, siempre y cuando dichas prórrogas no interfieran con la fecha de una audiencia u otra reunión y la solicitud de prórroga se presente tan pronto como sea posible desde que la Parte en cuestión adquiera conocimiento de las circunstancias que le impidan cumplir con el plazo original.</w:t>
      </w:r>
    </w:p>
    <w:p w14:paraId="46ABDCD7" w14:textId="77777777" w:rsidR="003B3957" w:rsidRPr="00AB7B88" w:rsidRDefault="003B3957" w:rsidP="0011374D">
      <w:pPr>
        <w:pStyle w:val="Bodytext1"/>
        <w:shd w:val="clear" w:color="auto" w:fill="auto"/>
        <w:spacing w:before="380" w:line="360" w:lineRule="auto"/>
        <w:ind w:left="520" w:right="20" w:firstLine="0"/>
        <w:jc w:val="both"/>
        <w:rPr>
          <w:sz w:val="20"/>
          <w:lang w:val="es-AR"/>
        </w:rPr>
      </w:pPr>
      <w:r w:rsidRPr="00AB7B88">
        <w:rPr>
          <w:rStyle w:val="Bodytext"/>
          <w:color w:val="000000"/>
          <w:sz w:val="20"/>
          <w:lang w:val="es-AR" w:eastAsia="es-ES_tradnl"/>
        </w:rPr>
        <w:t>El Tribunal consideró pertinente aceptar la solicitud de los Demandantes tras considerar detenidamente todas las circunstancias correspondientes, en particular, la brevedad y la urgencia de la prórroga solicitada y que, conforme se explicó en la solicitud, "los Demandantes han consultado con los abogados de la Demandada si esta última aceptaría esta solicitud de una prórroga breve. Los abogados de la Demandada nos han informado que no han recibido aún una respuesta de su cliente. En aras del tiempo, los Demandantes presentan respetuosamente esta solicitud al Tribunal en este momento y han informado al respecto a los abogados de la Demandada".</w:t>
      </w:r>
    </w:p>
    <w:p w14:paraId="4A43FF5E" w14:textId="77777777" w:rsidR="003B3957" w:rsidRPr="00AB7B88" w:rsidRDefault="003B3957" w:rsidP="0011374D">
      <w:pPr>
        <w:pStyle w:val="Bodytext1"/>
        <w:shd w:val="clear" w:color="auto" w:fill="auto"/>
        <w:spacing w:before="380" w:line="360" w:lineRule="auto"/>
        <w:ind w:left="520" w:right="20" w:firstLine="0"/>
        <w:jc w:val="both"/>
        <w:rPr>
          <w:sz w:val="20"/>
          <w:lang w:val="es-AR"/>
        </w:rPr>
      </w:pPr>
      <w:r w:rsidRPr="00AB7B88">
        <w:rPr>
          <w:rStyle w:val="Bodytext"/>
          <w:color w:val="000000"/>
          <w:sz w:val="20"/>
          <w:lang w:val="es-AR" w:eastAsia="es-ES_tradnl"/>
        </w:rPr>
        <w:t>A fin de evitar dudas, el Tribunal confirma que el Calendario Procesal establecido en la sección 5.1 de la Orden Procesal No. 2 permanece plenamente en vigor, (traducción del Tribunal)</w:t>
      </w:r>
    </w:p>
    <w:p w14:paraId="2DA89C21" w14:textId="77777777" w:rsidR="005C5276" w:rsidRPr="00AB7B88" w:rsidRDefault="003B3957" w:rsidP="005C5276">
      <w:pPr>
        <w:pStyle w:val="Bodytext1"/>
        <w:numPr>
          <w:ilvl w:val="0"/>
          <w:numId w:val="1"/>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El 14 de diciembre de 2018, la Demandada presentó su Memorial sobre Objeciones a la Jurisdicción (el "Memorial (Jurisdicción)") y su Escrito de Contestación sobre el Fondo (el "Escrito de Contestación (Fondo)").</w:t>
      </w:r>
    </w:p>
    <w:p w14:paraId="387A75CE" w14:textId="77777777" w:rsidR="005C5276" w:rsidRPr="00AB7B88" w:rsidRDefault="003B3957" w:rsidP="005C5276">
      <w:pPr>
        <w:pStyle w:val="Bodytext1"/>
        <w:numPr>
          <w:ilvl w:val="0"/>
          <w:numId w:val="1"/>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El 24 de mayo de 2019, los Demandantes informaron al Tribunal de que las Partes habían acordado prorrogar en una semana el plazo de presentación del siguiente escrito de los Demandantes con la condición de que la Demandada gozase también de una prórroga de una semana para presentar su escrito subsiguiente.</w:t>
      </w:r>
    </w:p>
    <w:p w14:paraId="4D06352E" w14:textId="77777777" w:rsidR="00197DD8" w:rsidRPr="00AB7B88" w:rsidRDefault="003B3957" w:rsidP="004D3BAA">
      <w:pPr>
        <w:pStyle w:val="Bodytext1"/>
        <w:numPr>
          <w:ilvl w:val="0"/>
          <w:numId w:val="1"/>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El 31 de mayo de 2019, el Tribunal co</w:t>
      </w:r>
      <w:r w:rsidRPr="00AB7B88">
        <w:rPr>
          <w:color w:val="000000"/>
          <w:sz w:val="20"/>
          <w:u w:val="single"/>
          <w:lang w:val="es-AR" w:eastAsia="es-ES_tradnl"/>
        </w:rPr>
        <w:t>nfir</w:t>
      </w:r>
      <w:r w:rsidRPr="00AB7B88">
        <w:rPr>
          <w:rStyle w:val="Bodytext"/>
          <w:color w:val="000000"/>
          <w:sz w:val="20"/>
          <w:lang w:val="es-AR" w:eastAsia="es-ES_tradnl"/>
        </w:rPr>
        <w:t>mó el acuerdo entre las Partes del 24 de mayo de 2019 y emitió un calendario procesal revisado.</w:t>
      </w:r>
    </w:p>
    <w:p w14:paraId="0232FB48" w14:textId="77777777" w:rsidR="00197DD8" w:rsidRPr="00AB7B88" w:rsidRDefault="003B3957" w:rsidP="004D3BAA">
      <w:pPr>
        <w:pStyle w:val="Bodytext1"/>
        <w:numPr>
          <w:ilvl w:val="0"/>
          <w:numId w:val="1"/>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lastRenderedPageBreak/>
        <w:t>El 14 de junio de 2019, los Demandantes presentaron su Contestación a las Objeciones a la Jurisdicción (el "Escrito de Contestación (Jurisdicción)") y la Réplica sobre el Fondo (la "Réplica (Fondo)").</w:t>
      </w:r>
    </w:p>
    <w:p w14:paraId="78DEBD43" w14:textId="77777777" w:rsidR="00197DD8" w:rsidRPr="00AB7B88" w:rsidRDefault="003B3957" w:rsidP="004D3BAA">
      <w:pPr>
        <w:pStyle w:val="Bodytext1"/>
        <w:numPr>
          <w:ilvl w:val="0"/>
          <w:numId w:val="1"/>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El 22 de noviembre de 2019, la Demandada presentó su Réplica sobre las Objeciones a la Jurisdicción (la "Réplica (Jurisdicción)") y su Dúplica sobre el Fondo (la "Dúplica (Fondo)").</w:t>
      </w:r>
    </w:p>
    <w:p w14:paraId="140FB7D2" w14:textId="77777777" w:rsidR="003B3957" w:rsidRPr="00AB7B88" w:rsidRDefault="003B3957" w:rsidP="004D3BAA">
      <w:pPr>
        <w:pStyle w:val="Bodytext1"/>
        <w:numPr>
          <w:ilvl w:val="0"/>
          <w:numId w:val="1"/>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El 3 de enero de 2020, los Demandantes presentaron su Dúplica sobre Jurisdicción (la "Dúplica (Jurisdicción)").</w:t>
      </w:r>
    </w:p>
    <w:p w14:paraId="3A0B9CE0" w14:textId="77777777" w:rsidR="003B3957" w:rsidRPr="00AB7B88" w:rsidRDefault="003B3957" w:rsidP="000053F7">
      <w:pPr>
        <w:pStyle w:val="Bodytext30"/>
        <w:widowControl w:val="0"/>
        <w:numPr>
          <w:ilvl w:val="0"/>
          <w:numId w:val="64"/>
        </w:numPr>
        <w:shd w:val="clear" w:color="auto" w:fill="auto"/>
        <w:spacing w:before="380" w:after="0" w:line="360" w:lineRule="auto"/>
        <w:ind w:left="340" w:hanging="340"/>
        <w:jc w:val="both"/>
        <w:rPr>
          <w:sz w:val="20"/>
        </w:rPr>
      </w:pPr>
      <w:bookmarkStart w:id="31" w:name="bookmark36"/>
      <w:bookmarkStart w:id="32" w:name="bookmark37"/>
      <w:r w:rsidRPr="00AB7B88">
        <w:rPr>
          <w:rStyle w:val="Heading2"/>
          <w:rFonts w:ascii="Times New Roman" w:hAnsi="Times New Roman"/>
          <w:color w:val="000000"/>
          <w:sz w:val="20"/>
          <w:lang w:eastAsia="es-ES_tradnl"/>
        </w:rPr>
        <w:t>La Audiencia</w:t>
      </w:r>
      <w:bookmarkEnd w:id="31"/>
      <w:bookmarkEnd w:id="32"/>
    </w:p>
    <w:p w14:paraId="6A8E0FF2" w14:textId="77777777" w:rsidR="003B3957" w:rsidRPr="00AB7B88" w:rsidRDefault="003B3957" w:rsidP="00CC4948">
      <w:pPr>
        <w:pStyle w:val="Bodytext1"/>
        <w:numPr>
          <w:ilvl w:val="0"/>
          <w:numId w:val="1"/>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Tras varios intercambios, el 20 de agosto de 2018, el Tribunal confirmó el acuerdo de las Partes para celebrar la audiencia entre el 27 de enero de 2020 y el 1 de febrero de 2020 (la "Audiencia").</w:t>
      </w:r>
    </w:p>
    <w:p w14:paraId="67069732" w14:textId="77777777" w:rsidR="003B3957" w:rsidRPr="00AB7B88" w:rsidRDefault="003B3957" w:rsidP="00CC4948">
      <w:pPr>
        <w:pStyle w:val="Bodytext1"/>
        <w:numPr>
          <w:ilvl w:val="0"/>
          <w:numId w:val="1"/>
        </w:numPr>
        <w:shd w:val="clear" w:color="auto" w:fill="auto"/>
        <w:tabs>
          <w:tab w:val="left" w:pos="523"/>
        </w:tabs>
        <w:spacing w:before="380" w:line="360" w:lineRule="auto"/>
        <w:ind w:left="522" w:hanging="522"/>
        <w:jc w:val="both"/>
        <w:rPr>
          <w:sz w:val="20"/>
          <w:lang w:val="es-AR"/>
        </w:rPr>
      </w:pPr>
      <w:r w:rsidRPr="00AB7B88">
        <w:rPr>
          <w:rStyle w:val="Bodytext"/>
          <w:color w:val="000000"/>
          <w:sz w:val="20"/>
          <w:lang w:val="es-AR" w:eastAsia="es-ES_tradnl"/>
        </w:rPr>
        <w:t>El 20 de septiembre de 2018, el Tribunal confirmó el acuerdo de las Partes para que la Audiencia se celebrara en Washington, D.C., Estados Unidos de América.</w:t>
      </w:r>
    </w:p>
    <w:p w14:paraId="02E342AB" w14:textId="77777777" w:rsidR="003B3957" w:rsidRPr="00AB7B88" w:rsidRDefault="003B3957" w:rsidP="00CC4948">
      <w:pPr>
        <w:pStyle w:val="Bodytext1"/>
        <w:numPr>
          <w:ilvl w:val="0"/>
          <w:numId w:val="1"/>
        </w:numPr>
        <w:shd w:val="clear" w:color="auto" w:fill="auto"/>
        <w:tabs>
          <w:tab w:val="left" w:pos="523"/>
        </w:tabs>
        <w:spacing w:before="380" w:line="360" w:lineRule="auto"/>
        <w:ind w:left="522" w:hanging="522"/>
        <w:jc w:val="both"/>
        <w:rPr>
          <w:sz w:val="20"/>
          <w:lang w:val="es-AR"/>
        </w:rPr>
      </w:pPr>
      <w:r w:rsidRPr="00AB7B88">
        <w:rPr>
          <w:rStyle w:val="Bodytext"/>
          <w:color w:val="000000"/>
          <w:sz w:val="20"/>
          <w:lang w:val="es-AR" w:eastAsia="es-ES_tradnl"/>
        </w:rPr>
        <w:t>Mediante carta del 2 de abril de 2019, los Demandantes opinaron que las fechas reservadas para la Audiencia no serían suficientes para interrogar a los testigos y a los peritos del caso y solicitaron al Tribunal que indicase su disponibilidad para reunirse en fechas adicionales. Tras varios intercambios, el 18 de abril de 2019, el Tribunal decidió reservar el período entre el 20 de enero de 2020 y el 1de febrero de 2020 para la Audiencia y reservó su decisión sobre la duración exacta de la Audiencia hasta una fase posterior, a la luz de las divergencias entre las Partes en los cálculos del numero de días necesarios.</w:t>
      </w:r>
    </w:p>
    <w:p w14:paraId="63814401" w14:textId="77777777" w:rsidR="003B3957" w:rsidRPr="00AB7B88" w:rsidRDefault="003B3957" w:rsidP="00CC4948">
      <w:pPr>
        <w:pStyle w:val="Bodytext1"/>
        <w:numPr>
          <w:ilvl w:val="0"/>
          <w:numId w:val="1"/>
        </w:numPr>
        <w:shd w:val="clear" w:color="auto" w:fill="auto"/>
        <w:tabs>
          <w:tab w:val="left" w:pos="523"/>
        </w:tabs>
        <w:spacing w:before="380" w:line="360" w:lineRule="auto"/>
        <w:ind w:left="522" w:hanging="522"/>
        <w:jc w:val="both"/>
        <w:rPr>
          <w:sz w:val="20"/>
          <w:lang w:val="es-AR"/>
        </w:rPr>
      </w:pPr>
      <w:r w:rsidRPr="00AB7B88">
        <w:rPr>
          <w:rStyle w:val="Bodytext"/>
          <w:color w:val="000000"/>
          <w:sz w:val="20"/>
          <w:lang w:val="es-AR" w:eastAsia="es-ES_tradnl"/>
        </w:rPr>
        <w:t>Tras varios intercambios adicionales, el 26 de agosto de 2019, el Tribunal confirmó el periodo entre el 19 y el 21 de febrero de 2020 (con el 22 de febrero en reserva) como fechas adicionales para la Audiencia. El Tribunal manifestó su preferencia por finalizar la Audiencia en un único bloque de tiempo en el periodo entre el 20 de enero y el 1 de febrero de 2020 y observó que las fechas de audiencia adicionales debían ser empleadas únicamente como último recurso.</w:t>
      </w:r>
    </w:p>
    <w:p w14:paraId="711AC8CF" w14:textId="77777777" w:rsidR="003B3957" w:rsidRPr="00AB7B88" w:rsidRDefault="003B3957" w:rsidP="001D59F9">
      <w:pPr>
        <w:pStyle w:val="Bodytext1"/>
        <w:numPr>
          <w:ilvl w:val="0"/>
          <w:numId w:val="1"/>
        </w:numPr>
        <w:shd w:val="clear" w:color="auto" w:fill="auto"/>
        <w:tabs>
          <w:tab w:val="left" w:pos="523"/>
        </w:tabs>
        <w:spacing w:before="380" w:line="360" w:lineRule="auto"/>
        <w:ind w:left="522" w:hanging="522"/>
        <w:jc w:val="both"/>
        <w:rPr>
          <w:sz w:val="20"/>
          <w:lang w:val="es-AR"/>
        </w:rPr>
      </w:pPr>
      <w:r w:rsidRPr="00AB7B88">
        <w:rPr>
          <w:rStyle w:val="Bodytext"/>
          <w:color w:val="000000"/>
          <w:sz w:val="20"/>
          <w:lang w:val="es-AR" w:eastAsia="es-ES_tradnl"/>
        </w:rPr>
        <w:t>Mediante carta del 11 de noviembre de 2019, a la luz del período limitado entre el último escrito de las Partes y el inicio de la Audiencia, el Tribunal propuso a las Partes que, el 29 de noviembre de</w:t>
      </w:r>
      <w:r w:rsidR="001D59F9" w:rsidRPr="00AB7B88">
        <w:rPr>
          <w:rStyle w:val="Bodytext"/>
          <w:color w:val="000000"/>
          <w:sz w:val="20"/>
          <w:lang w:val="es-AR" w:eastAsia="es-ES_tradnl"/>
        </w:rPr>
        <w:t xml:space="preserve"> 2019 </w:t>
      </w:r>
      <w:r w:rsidRPr="00AB7B88">
        <w:rPr>
          <w:rStyle w:val="Bodytext"/>
          <w:color w:val="000000"/>
          <w:sz w:val="20"/>
          <w:lang w:val="es-AR" w:eastAsia="es-ES_tradnl"/>
        </w:rPr>
        <w:t xml:space="preserve">intercambiasen listas indicativas de los testigos y los peritos que serían llamados a comparecer, con la posibilidad de llamar a comparecer a testigos y peritos adicionales el 6 de enero de 2020. Tras invitar a las Partes a manifestar sus opiniones sobre la propuesta, el 25 de noviembre de 2019 el Tribunal instruyó a las Partes a que i) el 29 de </w:t>
      </w:r>
      <w:r w:rsidRPr="00AB7B88">
        <w:rPr>
          <w:rStyle w:val="Bodytext"/>
          <w:color w:val="000000"/>
          <w:sz w:val="20"/>
          <w:lang w:val="es-AR" w:eastAsia="es-ES_tradnl"/>
        </w:rPr>
        <w:lastRenderedPageBreak/>
        <w:t>noviembre de 2019 intercambiaran simultáneamente listas indicativas de los testigos y los peritos llamados a comparecer para contrainterrogatorio en la Audiencia; y ii) el 8 de enero de 2020 intercambiaran simultáneamente una segunda ronda de listas.</w:t>
      </w:r>
    </w:p>
    <w:p w14:paraId="2B969401" w14:textId="77777777" w:rsidR="003B3957" w:rsidRPr="00AB7B88" w:rsidRDefault="003B3957" w:rsidP="003F2704">
      <w:pPr>
        <w:pStyle w:val="Bodytext1"/>
        <w:numPr>
          <w:ilvl w:val="0"/>
          <w:numId w:val="1"/>
        </w:numPr>
        <w:shd w:val="clear" w:color="auto" w:fill="auto"/>
        <w:tabs>
          <w:tab w:val="left" w:pos="523"/>
        </w:tabs>
        <w:spacing w:before="380" w:line="360" w:lineRule="auto"/>
        <w:ind w:left="522" w:hanging="522"/>
        <w:jc w:val="both"/>
        <w:rPr>
          <w:sz w:val="20"/>
          <w:lang w:val="es-AR"/>
        </w:rPr>
      </w:pPr>
      <w:r w:rsidRPr="00AB7B88">
        <w:rPr>
          <w:rStyle w:val="Bodytext"/>
          <w:color w:val="000000"/>
          <w:sz w:val="20"/>
          <w:lang w:val="es-AR" w:eastAsia="es-ES_tradnl"/>
        </w:rPr>
        <w:t>El 29 de noviembre de 2019, las Partes intercambiaron listas indicativas de los testigos y los peritos citados para ser interrogados en la Audiencia.</w:t>
      </w:r>
    </w:p>
    <w:p w14:paraId="4AB8A5EE" w14:textId="77777777" w:rsidR="003B3957" w:rsidRPr="00AB7B88" w:rsidRDefault="003B3957" w:rsidP="003F2704">
      <w:pPr>
        <w:pStyle w:val="Bodytext1"/>
        <w:numPr>
          <w:ilvl w:val="0"/>
          <w:numId w:val="1"/>
        </w:numPr>
        <w:shd w:val="clear" w:color="auto" w:fill="auto"/>
        <w:tabs>
          <w:tab w:val="left" w:pos="523"/>
        </w:tabs>
        <w:spacing w:before="380" w:line="360" w:lineRule="auto"/>
        <w:ind w:left="522" w:hanging="522"/>
        <w:jc w:val="both"/>
        <w:rPr>
          <w:sz w:val="20"/>
          <w:lang w:val="es-AR"/>
        </w:rPr>
      </w:pPr>
      <w:r w:rsidRPr="00AB7B88">
        <w:rPr>
          <w:rStyle w:val="Bodytext"/>
          <w:color w:val="000000"/>
          <w:sz w:val="20"/>
          <w:lang w:val="es-AR" w:eastAsia="es-ES_tradnl"/>
        </w:rPr>
        <w:t>El 9 de diciembre de 2019, el Tribunal circuló el borrador de la Orden Procesal No. 5, en el que convocaba a la Audiencia y abordaba los demás aspectos técnicos y secundarios de la misma, para ser discutida en la conferencia previa a la Audiencia.</w:t>
      </w:r>
    </w:p>
    <w:p w14:paraId="28C284D0" w14:textId="77777777" w:rsidR="003B3957" w:rsidRPr="00AB7B88" w:rsidRDefault="003B3957" w:rsidP="003F2704">
      <w:pPr>
        <w:pStyle w:val="Bodytext1"/>
        <w:numPr>
          <w:ilvl w:val="0"/>
          <w:numId w:val="1"/>
        </w:numPr>
        <w:shd w:val="clear" w:color="auto" w:fill="auto"/>
        <w:tabs>
          <w:tab w:val="left" w:pos="523"/>
        </w:tabs>
        <w:spacing w:before="380" w:line="360" w:lineRule="auto"/>
        <w:ind w:left="522" w:hanging="522"/>
        <w:jc w:val="both"/>
        <w:rPr>
          <w:sz w:val="20"/>
          <w:lang w:val="es-AR"/>
        </w:rPr>
      </w:pPr>
      <w:r w:rsidRPr="00AB7B88">
        <w:rPr>
          <w:rStyle w:val="Bodytext"/>
          <w:color w:val="000000"/>
          <w:sz w:val="20"/>
          <w:lang w:val="es-AR" w:eastAsia="es-ES_tradnl"/>
        </w:rPr>
        <w:t>El 16 de diciembre de 2019, el Tribunal y las Partes mantuvieron una conferencia telefónica en preparación para la Audiencia.</w:t>
      </w:r>
    </w:p>
    <w:p w14:paraId="496DE1E0" w14:textId="77777777" w:rsidR="003B3957" w:rsidRPr="00AB7B88" w:rsidRDefault="003B3957" w:rsidP="000053F7">
      <w:pPr>
        <w:pStyle w:val="Bodytext1"/>
        <w:numPr>
          <w:ilvl w:val="0"/>
          <w:numId w:val="6"/>
        </w:numPr>
        <w:shd w:val="clear" w:color="auto" w:fill="auto"/>
        <w:tabs>
          <w:tab w:val="left" w:pos="543"/>
        </w:tabs>
        <w:spacing w:before="380" w:line="360" w:lineRule="auto"/>
        <w:ind w:left="522" w:hanging="522"/>
        <w:jc w:val="both"/>
        <w:rPr>
          <w:sz w:val="20"/>
          <w:lang w:val="es-AR"/>
        </w:rPr>
      </w:pPr>
      <w:r w:rsidRPr="00AB7B88">
        <w:rPr>
          <w:rStyle w:val="Bodytext"/>
          <w:color w:val="000000"/>
          <w:sz w:val="20"/>
          <w:lang w:val="es-AR" w:eastAsia="es-ES_tradnl"/>
        </w:rPr>
        <w:t>El 24 de diciembre de 2019, el Tribunal hizo circular un borrador actualizado de la Orden Procesal No. 5 y un cronograma provisional para la Audiencia.</w:t>
      </w:r>
    </w:p>
    <w:p w14:paraId="177F1EB3" w14:textId="77777777" w:rsidR="003B3957" w:rsidRPr="00AB7B88" w:rsidRDefault="003B3957" w:rsidP="000053F7">
      <w:pPr>
        <w:pStyle w:val="Bodytext1"/>
        <w:numPr>
          <w:ilvl w:val="0"/>
          <w:numId w:val="6"/>
        </w:numPr>
        <w:shd w:val="clear" w:color="auto" w:fill="auto"/>
        <w:tabs>
          <w:tab w:val="left" w:pos="543"/>
        </w:tabs>
        <w:spacing w:before="380" w:line="360" w:lineRule="auto"/>
        <w:ind w:left="522" w:hanging="522"/>
        <w:jc w:val="both"/>
        <w:rPr>
          <w:sz w:val="20"/>
          <w:lang w:val="es-AR"/>
        </w:rPr>
      </w:pPr>
      <w:r w:rsidRPr="00AB7B88">
        <w:rPr>
          <w:rStyle w:val="Bodytext"/>
          <w:color w:val="000000"/>
          <w:sz w:val="20"/>
          <w:lang w:val="es-AR" w:eastAsia="es-ES_tradnl"/>
        </w:rPr>
        <w:t>El 8 de enero de 2020, las Partes intercambiaron listas adicionales de testigos y peritos citados para ser interrogados en la Audiencia.</w:t>
      </w:r>
    </w:p>
    <w:p w14:paraId="02C98815" w14:textId="77777777" w:rsidR="003B3957" w:rsidRPr="00AB7B88" w:rsidRDefault="003B3957" w:rsidP="000053F7">
      <w:pPr>
        <w:pStyle w:val="Bodytext1"/>
        <w:numPr>
          <w:ilvl w:val="0"/>
          <w:numId w:val="6"/>
        </w:numPr>
        <w:shd w:val="clear" w:color="auto" w:fill="auto"/>
        <w:tabs>
          <w:tab w:val="left" w:pos="543"/>
        </w:tabs>
        <w:spacing w:before="380" w:line="360" w:lineRule="auto"/>
        <w:ind w:left="522" w:hanging="522"/>
        <w:jc w:val="both"/>
        <w:rPr>
          <w:sz w:val="20"/>
          <w:lang w:val="es-AR"/>
        </w:rPr>
      </w:pPr>
      <w:r w:rsidRPr="00AB7B88">
        <w:rPr>
          <w:rStyle w:val="Bodytext"/>
          <w:color w:val="000000"/>
          <w:sz w:val="20"/>
          <w:lang w:val="es-AR" w:eastAsia="es-ES_tradnl"/>
        </w:rPr>
        <w:t>El 13 de enero de 2020, el Tribunal invitó a las Partes a tratar una serie de cuestiones en el marco de sus presentaciones orales en la Audiencia.</w:t>
      </w:r>
    </w:p>
    <w:p w14:paraId="087632F2" w14:textId="77777777" w:rsidR="003B3957" w:rsidRPr="00AB7B88" w:rsidRDefault="003B3957" w:rsidP="000053F7">
      <w:pPr>
        <w:pStyle w:val="Bodytext1"/>
        <w:numPr>
          <w:ilvl w:val="0"/>
          <w:numId w:val="6"/>
        </w:numPr>
        <w:shd w:val="clear" w:color="auto" w:fill="auto"/>
        <w:tabs>
          <w:tab w:val="left" w:pos="538"/>
        </w:tabs>
        <w:spacing w:before="380" w:line="360" w:lineRule="auto"/>
        <w:ind w:left="522" w:hanging="522"/>
        <w:jc w:val="both"/>
        <w:rPr>
          <w:sz w:val="20"/>
          <w:lang w:val="es-AR"/>
        </w:rPr>
      </w:pPr>
      <w:r w:rsidRPr="00AB7B88">
        <w:rPr>
          <w:rStyle w:val="Bodytext"/>
          <w:color w:val="000000"/>
          <w:sz w:val="20"/>
          <w:lang w:val="es-AR" w:eastAsia="es-ES_tradnl"/>
        </w:rPr>
        <w:t>El 19 de enero de 2020, el Tribunal emitió la Orden Procesal No. 5, en la que convocaba a la Audiencia, establecía el lugar, la hora, la agenda y todos los demás aspectos técnicos y conexos.</w:t>
      </w:r>
    </w:p>
    <w:p w14:paraId="398D32ED" w14:textId="77777777" w:rsidR="003B3957" w:rsidRPr="00AB7B88" w:rsidRDefault="003B3957" w:rsidP="000053F7">
      <w:pPr>
        <w:pStyle w:val="Bodytext1"/>
        <w:numPr>
          <w:ilvl w:val="0"/>
          <w:numId w:val="6"/>
        </w:numPr>
        <w:shd w:val="clear" w:color="auto" w:fill="auto"/>
        <w:tabs>
          <w:tab w:val="left" w:pos="538"/>
        </w:tabs>
        <w:spacing w:before="380" w:line="360" w:lineRule="auto"/>
        <w:ind w:left="522" w:hanging="522"/>
        <w:jc w:val="both"/>
        <w:rPr>
          <w:sz w:val="20"/>
        </w:rPr>
      </w:pPr>
      <w:r w:rsidRPr="00AB7B88">
        <w:rPr>
          <w:rStyle w:val="Bodytext"/>
          <w:color w:val="000000"/>
          <w:sz w:val="20"/>
          <w:lang w:val="es-AR" w:eastAsia="es-ES_tradnl"/>
        </w:rPr>
        <w:t>La Audiencia se celebró en dos sesiones separadas ("</w:t>
      </w:r>
      <w:r w:rsidRPr="00AB7B88">
        <w:rPr>
          <w:rStyle w:val="Bodytext"/>
          <w:b/>
          <w:color w:val="000000"/>
          <w:sz w:val="20"/>
          <w:lang w:val="es-AR" w:eastAsia="es-ES_tradnl"/>
        </w:rPr>
        <w:t>Sesión 1</w:t>
      </w:r>
      <w:r w:rsidRPr="00AB7B88">
        <w:rPr>
          <w:rStyle w:val="Bodytext"/>
          <w:color w:val="000000"/>
          <w:sz w:val="20"/>
          <w:lang w:val="es-AR" w:eastAsia="es-ES_tradnl"/>
        </w:rPr>
        <w:t>" y "</w:t>
      </w:r>
      <w:r w:rsidRPr="00AB7B88">
        <w:rPr>
          <w:rStyle w:val="Bodytext"/>
          <w:b/>
          <w:color w:val="000000"/>
          <w:sz w:val="20"/>
          <w:lang w:val="es-AR" w:eastAsia="es-ES_tradnl"/>
        </w:rPr>
        <w:t>Sesión 2</w:t>
      </w:r>
      <w:r w:rsidRPr="00AB7B88">
        <w:rPr>
          <w:rStyle w:val="Bodytext"/>
          <w:color w:val="000000"/>
          <w:sz w:val="20"/>
          <w:lang w:val="es-AR" w:eastAsia="es-ES_tradnl"/>
        </w:rPr>
        <w:t xml:space="preserve">", respectivamente). La Sesión 1 tuvo lugar del 20 de enero de 2020 al 3 1 de enero de 2020 en las salas de audiencia del Centro Internacional de Arreglo de Diferencias relativas a Inversiones, ubicadas en el edificio principal del Banco Mundial, situado en 700 18th Street, N.W., Washington, D.C., Estados Unidos de América. </w:t>
      </w:r>
      <w:r w:rsidRPr="00AB7B88">
        <w:rPr>
          <w:rStyle w:val="Bodytext"/>
          <w:color w:val="000000"/>
          <w:sz w:val="20"/>
          <w:lang w:eastAsia="es-ES_tradnl"/>
        </w:rPr>
        <w:t>A la Sesión 1 asistieron las siguientes personas:</w:t>
      </w:r>
    </w:p>
    <w:p w14:paraId="78E783BA" w14:textId="77777777" w:rsidR="003B3957" w:rsidRPr="00AB7B88" w:rsidRDefault="003B3957" w:rsidP="00AF6996">
      <w:pPr>
        <w:pStyle w:val="Bodytext1"/>
        <w:shd w:val="clear" w:color="auto" w:fill="auto"/>
        <w:spacing w:before="380" w:line="360" w:lineRule="auto"/>
        <w:ind w:left="522" w:firstLine="0"/>
        <w:rPr>
          <w:sz w:val="20"/>
        </w:rPr>
      </w:pPr>
      <w:r w:rsidRPr="00AB7B88">
        <w:rPr>
          <w:color w:val="000000"/>
          <w:sz w:val="20"/>
          <w:u w:val="single"/>
          <w:lang w:eastAsia="es-ES_tradnl"/>
        </w:rPr>
        <w:t>El Tribunal</w:t>
      </w:r>
    </w:p>
    <w:p w14:paraId="64B57F16" w14:textId="77777777" w:rsidR="003B3957" w:rsidRPr="00AB7B88" w:rsidRDefault="003B3957" w:rsidP="00AF6996">
      <w:pPr>
        <w:pStyle w:val="Bodytext1"/>
        <w:shd w:val="clear" w:color="auto" w:fill="auto"/>
        <w:spacing w:before="380" w:line="360" w:lineRule="auto"/>
        <w:ind w:left="522" w:firstLine="0"/>
        <w:rPr>
          <w:sz w:val="20"/>
          <w:lang w:val="es-AR"/>
        </w:rPr>
      </w:pPr>
      <w:r w:rsidRPr="00AB7B88">
        <w:rPr>
          <w:rStyle w:val="Bodytext"/>
          <w:color w:val="000000"/>
          <w:sz w:val="20"/>
          <w:lang w:val="es-AR" w:eastAsia="es-ES_tradnl"/>
        </w:rPr>
        <w:t>Dr. Andrés Rigo Sureda (árbitro presidente)</w:t>
      </w:r>
    </w:p>
    <w:p w14:paraId="21D96D66" w14:textId="77777777" w:rsidR="00570134" w:rsidRPr="00AB7B88" w:rsidRDefault="00570134" w:rsidP="0057013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lastRenderedPageBreak/>
        <w:t>Juez O. Thomas Johnson</w:t>
      </w:r>
    </w:p>
    <w:p w14:paraId="2D46A5F1" w14:textId="77777777" w:rsidR="003B3957" w:rsidRPr="00AB7B88" w:rsidRDefault="003B3957" w:rsidP="00855168">
      <w:pPr>
        <w:pStyle w:val="Bodytext1"/>
        <w:shd w:val="clear" w:color="auto" w:fill="auto"/>
        <w:spacing w:before="0" w:line="360" w:lineRule="auto"/>
        <w:ind w:left="522" w:firstLine="0"/>
        <w:rPr>
          <w:color w:val="000000"/>
          <w:sz w:val="20"/>
          <w:lang w:val="es-AR" w:eastAsia="es-ES_tradnl"/>
        </w:rPr>
      </w:pPr>
      <w:r w:rsidRPr="00AB7B88">
        <w:rPr>
          <w:rStyle w:val="Bodytext"/>
          <w:color w:val="000000"/>
          <w:sz w:val="20"/>
          <w:lang w:val="es-AR" w:eastAsia="es-ES_tradnl"/>
        </w:rPr>
        <w:t>Profesor Pierre Mayer</w:t>
      </w:r>
    </w:p>
    <w:p w14:paraId="0A58D7C2" w14:textId="77777777" w:rsidR="003B3957" w:rsidRPr="00AB7B88" w:rsidRDefault="003B3957" w:rsidP="003F2704">
      <w:pPr>
        <w:pStyle w:val="Bodytext1"/>
        <w:shd w:val="clear" w:color="auto" w:fill="auto"/>
        <w:spacing w:before="380" w:line="360" w:lineRule="auto"/>
        <w:ind w:left="522" w:firstLine="0"/>
        <w:rPr>
          <w:sz w:val="20"/>
          <w:lang w:val="es-AR"/>
        </w:rPr>
      </w:pPr>
      <w:r w:rsidRPr="00AB7B88">
        <w:rPr>
          <w:color w:val="000000"/>
          <w:sz w:val="20"/>
          <w:u w:val="single"/>
          <w:lang w:val="es-AR" w:eastAsia="es-ES_tradnl"/>
        </w:rPr>
        <w:t>Los Demandantes</w:t>
      </w:r>
    </w:p>
    <w:p w14:paraId="0D59F2B7" w14:textId="77777777" w:rsidR="008D140E" w:rsidRPr="00AB7B88" w:rsidRDefault="003B3957" w:rsidP="003F2704">
      <w:pPr>
        <w:pStyle w:val="Bodytext1"/>
        <w:shd w:val="clear" w:color="auto" w:fill="auto"/>
        <w:spacing w:before="380" w:line="360" w:lineRule="auto"/>
        <w:ind w:left="522" w:firstLine="0"/>
        <w:jc w:val="both"/>
        <w:rPr>
          <w:rStyle w:val="Bodytext"/>
          <w:color w:val="000000"/>
          <w:sz w:val="20"/>
          <w:lang w:val="es-AR" w:eastAsia="es-ES_tradnl"/>
        </w:rPr>
      </w:pPr>
      <w:r w:rsidRPr="00AB7B88">
        <w:rPr>
          <w:rStyle w:val="Bodytext"/>
          <w:color w:val="000000"/>
          <w:sz w:val="20"/>
          <w:lang w:val="es-AR" w:eastAsia="es-ES_tradnl"/>
        </w:rPr>
        <w:t>Sr. Prenay Agarwal</w:t>
      </w:r>
    </w:p>
    <w:p w14:paraId="4EC103A9" w14:textId="77777777" w:rsidR="008D140E" w:rsidRPr="00AB7B88" w:rsidRDefault="003B3957" w:rsidP="003F2704">
      <w:pPr>
        <w:pStyle w:val="Bodytext1"/>
        <w:shd w:val="clear" w:color="auto" w:fill="auto"/>
        <w:spacing w:before="0" w:line="360" w:lineRule="auto"/>
        <w:ind w:left="522" w:firstLine="0"/>
        <w:jc w:val="both"/>
        <w:rPr>
          <w:rStyle w:val="Bodytext"/>
          <w:color w:val="000000"/>
          <w:sz w:val="20"/>
          <w:lang w:val="es-AR" w:eastAsia="es-ES_tradnl"/>
        </w:rPr>
      </w:pPr>
      <w:r w:rsidRPr="00AB7B88">
        <w:rPr>
          <w:rStyle w:val="Bodytext"/>
          <w:color w:val="000000"/>
          <w:sz w:val="20"/>
          <w:lang w:val="es-AR" w:eastAsia="es-ES_tradnl"/>
        </w:rPr>
        <w:t>Sra. Vinita Agarwal</w:t>
      </w:r>
    </w:p>
    <w:p w14:paraId="5DB6588A" w14:textId="77777777" w:rsidR="008D140E" w:rsidRPr="00AB7B88" w:rsidRDefault="003B3957" w:rsidP="003F2704">
      <w:pPr>
        <w:pStyle w:val="Bodytext1"/>
        <w:shd w:val="clear" w:color="auto" w:fill="auto"/>
        <w:spacing w:before="0" w:line="360" w:lineRule="auto"/>
        <w:ind w:left="522" w:firstLine="0"/>
        <w:jc w:val="both"/>
        <w:rPr>
          <w:rStyle w:val="Bodytext"/>
          <w:color w:val="000000"/>
          <w:sz w:val="20"/>
          <w:lang w:val="de-DE" w:eastAsia="es-ES_tradnl"/>
        </w:rPr>
      </w:pPr>
      <w:r w:rsidRPr="00AB7B88">
        <w:rPr>
          <w:rStyle w:val="Bodytext"/>
          <w:color w:val="000000"/>
          <w:sz w:val="20"/>
          <w:lang w:val="de-DE" w:eastAsia="es-ES_tradnl"/>
        </w:rPr>
        <w:t>Sra. Ritika Mehta</w:t>
      </w:r>
    </w:p>
    <w:p w14:paraId="376F806C" w14:textId="77777777" w:rsidR="003B3957" w:rsidRPr="00AB7B88" w:rsidRDefault="003B3957" w:rsidP="003F2704">
      <w:pPr>
        <w:pStyle w:val="Bodytext1"/>
        <w:shd w:val="clear" w:color="auto" w:fill="auto"/>
        <w:spacing w:before="0" w:line="360" w:lineRule="auto"/>
        <w:ind w:left="522" w:firstLine="0"/>
        <w:jc w:val="both"/>
        <w:rPr>
          <w:sz w:val="20"/>
          <w:lang w:val="de-DE"/>
        </w:rPr>
      </w:pPr>
      <w:r w:rsidRPr="00AB7B88">
        <w:rPr>
          <w:rStyle w:val="BodytextItalic"/>
          <w:color w:val="000000"/>
          <w:sz w:val="20"/>
          <w:lang w:val="de-DE" w:eastAsia="es-ES_tradnl"/>
        </w:rPr>
        <w:t>(Demandantes)</w:t>
      </w:r>
    </w:p>
    <w:p w14:paraId="4B9E845A" w14:textId="77777777" w:rsidR="008D140E" w:rsidRPr="00AB7B88" w:rsidRDefault="003B3957" w:rsidP="003F2704">
      <w:pPr>
        <w:pStyle w:val="Bodytext51"/>
        <w:shd w:val="clear" w:color="auto" w:fill="auto"/>
        <w:spacing w:before="380" w:after="0" w:line="360" w:lineRule="auto"/>
        <w:ind w:left="522" w:firstLine="0"/>
        <w:rPr>
          <w:rStyle w:val="Bodytext5NotItalic"/>
          <w:rFonts w:ascii="Times New Roman" w:eastAsia="Arial Unicode MS" w:hAnsi="Times New Roman"/>
          <w:iCs/>
          <w:sz w:val="20"/>
          <w:lang w:val="de-DE" w:eastAsia="es-ES_tradnl"/>
        </w:rPr>
      </w:pPr>
      <w:r w:rsidRPr="00AB7B88">
        <w:rPr>
          <w:rStyle w:val="Bodytext5NotItalic"/>
          <w:rFonts w:ascii="Times New Roman" w:eastAsia="Arial Unicode MS" w:hAnsi="Times New Roman"/>
          <w:iCs/>
          <w:sz w:val="20"/>
          <w:lang w:val="de-DE" w:eastAsia="es-ES_tradnl"/>
        </w:rPr>
        <w:t>Sr. Pramod Agarwa</w:t>
      </w:r>
    </w:p>
    <w:p w14:paraId="1B4857B9" w14:textId="77777777" w:rsidR="003B3957" w:rsidRPr="00AB7B88" w:rsidRDefault="003B3957" w:rsidP="003F2704">
      <w:pPr>
        <w:pStyle w:val="Bodytext51"/>
        <w:shd w:val="clear" w:color="auto" w:fill="auto"/>
        <w:spacing w:before="0" w:after="0" w:line="360" w:lineRule="auto"/>
        <w:ind w:left="522" w:firstLine="0"/>
        <w:rPr>
          <w:sz w:val="20"/>
          <w:lang w:val="es-AR"/>
        </w:rPr>
      </w:pPr>
      <w:r w:rsidRPr="00AB7B88">
        <w:rPr>
          <w:rStyle w:val="Bodytext5"/>
          <w:i/>
          <w:iCs/>
          <w:color w:val="000000"/>
          <w:sz w:val="20"/>
          <w:lang w:val="es-AR" w:eastAsia="es-ES_tradnl"/>
        </w:rPr>
        <w:t>(Representante de Parte y testigo)</w:t>
      </w:r>
    </w:p>
    <w:p w14:paraId="415A24AE" w14:textId="77777777" w:rsidR="008D140E" w:rsidRPr="00AB7B88" w:rsidRDefault="003B3957" w:rsidP="003F2704">
      <w:pPr>
        <w:pStyle w:val="Bodytext1"/>
        <w:shd w:val="clear" w:color="auto" w:fill="auto"/>
        <w:spacing w:before="380" w:line="360" w:lineRule="auto"/>
        <w:ind w:left="522" w:firstLine="0"/>
        <w:rPr>
          <w:rStyle w:val="Bodytext"/>
          <w:color w:val="000000"/>
          <w:sz w:val="20"/>
          <w:lang w:val="de-DE" w:eastAsia="es-ES_tradnl"/>
        </w:rPr>
      </w:pPr>
      <w:r w:rsidRPr="00AB7B88">
        <w:rPr>
          <w:rStyle w:val="Bodytext"/>
          <w:color w:val="000000"/>
          <w:sz w:val="20"/>
          <w:lang w:val="de-DE" w:eastAsia="es-ES_tradnl"/>
        </w:rPr>
        <w:t>Sr. Kenneth R. Fleuriet</w:t>
      </w:r>
    </w:p>
    <w:p w14:paraId="3A3E0433" w14:textId="77777777" w:rsidR="008D140E"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Reginald R. Smith</w:t>
      </w:r>
    </w:p>
    <w:p w14:paraId="7833DBF6" w14:textId="77777777" w:rsidR="008D140E"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Viren Mascarenhas</w:t>
      </w:r>
    </w:p>
    <w:p w14:paraId="788A587C" w14:textId="77777777" w:rsidR="008D140E"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Henry Bumett</w:t>
      </w:r>
    </w:p>
    <w:p w14:paraId="6E719171" w14:textId="77777777" w:rsidR="008D140E"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Craig Miles</w:t>
      </w:r>
    </w:p>
    <w:p w14:paraId="15E59AC2"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Charles B. Rosenberg</w:t>
      </w:r>
    </w:p>
    <w:p w14:paraId="246EBDF3"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Eldy Roche</w:t>
      </w:r>
    </w:p>
    <w:p w14:paraId="4779D2F7"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 Femando Rodríguez-Cortina</w:t>
      </w:r>
    </w:p>
    <w:p w14:paraId="279F36B5"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 Eduardo Bruera</w:t>
      </w:r>
    </w:p>
    <w:p w14:paraId="22028397"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 Enrique Molina</w:t>
      </w:r>
    </w:p>
    <w:p w14:paraId="557EF66B"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Isabel San Martín</w:t>
      </w:r>
    </w:p>
    <w:p w14:paraId="02C05A6A"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Verónica García</w:t>
      </w:r>
    </w:p>
    <w:p w14:paraId="28594B6F"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Zhennia Silverman</w:t>
      </w:r>
    </w:p>
    <w:p w14:paraId="04AF9A47" w14:textId="77777777" w:rsidR="009D500C" w:rsidRPr="00AB7B88" w:rsidRDefault="003B3957" w:rsidP="003F2704">
      <w:pPr>
        <w:pStyle w:val="Bodytext1"/>
        <w:shd w:val="clear" w:color="auto" w:fill="auto"/>
        <w:spacing w:before="0" w:line="360" w:lineRule="auto"/>
        <w:ind w:left="522" w:firstLine="0"/>
        <w:rPr>
          <w:rStyle w:val="BodytextItalic"/>
          <w:color w:val="000000"/>
          <w:sz w:val="20"/>
          <w:lang w:val="es-AR" w:eastAsia="es-ES_tradnl"/>
        </w:rPr>
      </w:pPr>
      <w:r w:rsidRPr="00AB7B88">
        <w:rPr>
          <w:rStyle w:val="BodytextItalic"/>
          <w:color w:val="000000"/>
          <w:sz w:val="20"/>
          <w:lang w:val="es-AR" w:eastAsia="es-ES_tradnl"/>
        </w:rPr>
        <w:t>(King &amp; Spalding LLP)</w:t>
      </w:r>
    </w:p>
    <w:p w14:paraId="5FBE3BB5" w14:textId="77777777" w:rsidR="009D500C" w:rsidRPr="00AB7B88" w:rsidRDefault="003B3957" w:rsidP="003F2704">
      <w:pPr>
        <w:pStyle w:val="Bodytext1"/>
        <w:shd w:val="clear" w:color="auto" w:fill="auto"/>
        <w:spacing w:before="380" w:line="360" w:lineRule="auto"/>
        <w:ind w:left="522" w:firstLine="0"/>
        <w:rPr>
          <w:rStyle w:val="Bodytext"/>
          <w:color w:val="000000"/>
          <w:sz w:val="20"/>
          <w:lang w:val="es-AR" w:eastAsia="es-ES_tradnl"/>
        </w:rPr>
      </w:pPr>
      <w:r w:rsidRPr="00AB7B88">
        <w:rPr>
          <w:rStyle w:val="Bodytext"/>
          <w:color w:val="000000"/>
          <w:sz w:val="20"/>
          <w:lang w:val="es-AR" w:eastAsia="es-ES_tradnl"/>
        </w:rPr>
        <w:t>Sra. Sandra González</w:t>
      </w:r>
    </w:p>
    <w:p w14:paraId="20056526"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 xml:space="preserve"> Sra. Soledad Díaz.</w:t>
      </w:r>
    </w:p>
    <w:p w14:paraId="0A0626D8"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Fernanda Roca</w:t>
      </w:r>
    </w:p>
    <w:p w14:paraId="290CDD40"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 Mauricio Mourglia</w:t>
      </w:r>
    </w:p>
    <w:p w14:paraId="6D909D3D" w14:textId="77777777" w:rsidR="009D500C" w:rsidRPr="00AB7B88" w:rsidRDefault="003B3957" w:rsidP="003F2704">
      <w:pPr>
        <w:pStyle w:val="Bodytext1"/>
        <w:shd w:val="clear" w:color="auto" w:fill="auto"/>
        <w:spacing w:before="0" w:line="360" w:lineRule="auto"/>
        <w:ind w:left="522" w:firstLine="0"/>
        <w:rPr>
          <w:rStyle w:val="BodytextItalic"/>
          <w:color w:val="000000"/>
          <w:sz w:val="20"/>
          <w:lang w:val="es-AR" w:eastAsia="es-ES_tradnl"/>
        </w:rPr>
      </w:pPr>
      <w:r w:rsidRPr="00AB7B88">
        <w:rPr>
          <w:rStyle w:val="BodytextItalic"/>
          <w:color w:val="000000"/>
          <w:sz w:val="20"/>
          <w:lang w:val="es-AR" w:eastAsia="es-ES_tradnl"/>
        </w:rPr>
        <w:t>(Ferrere)</w:t>
      </w:r>
    </w:p>
    <w:p w14:paraId="5FED27D1" w14:textId="77777777" w:rsidR="009D500C" w:rsidRPr="00AB7B88" w:rsidRDefault="003B3957" w:rsidP="003F2704">
      <w:pPr>
        <w:pStyle w:val="Bodytext1"/>
        <w:shd w:val="clear" w:color="auto" w:fill="auto"/>
        <w:spacing w:before="380" w:line="360" w:lineRule="auto"/>
        <w:ind w:left="522" w:firstLine="0"/>
        <w:rPr>
          <w:rStyle w:val="Bodytext"/>
          <w:color w:val="000000"/>
          <w:sz w:val="20"/>
          <w:lang w:val="es-AR" w:eastAsia="es-ES_tradnl"/>
        </w:rPr>
      </w:pPr>
      <w:r w:rsidRPr="00AB7B88">
        <w:rPr>
          <w:rStyle w:val="Bodytext"/>
          <w:color w:val="000000"/>
          <w:sz w:val="20"/>
          <w:lang w:val="es-AR" w:eastAsia="es-ES_tradnl"/>
        </w:rPr>
        <w:t>Sr. James Haas</w:t>
      </w:r>
    </w:p>
    <w:p w14:paraId="281D641B"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 Brian Thompson</w:t>
      </w:r>
    </w:p>
    <w:p w14:paraId="0A9617DC" w14:textId="77777777" w:rsidR="003B3957" w:rsidRPr="00AB7B88" w:rsidRDefault="003B3957" w:rsidP="003F2704">
      <w:pPr>
        <w:pStyle w:val="Bodytext1"/>
        <w:shd w:val="clear" w:color="auto" w:fill="auto"/>
        <w:spacing w:before="0" w:line="360" w:lineRule="auto"/>
        <w:ind w:left="522" w:firstLine="0"/>
        <w:rPr>
          <w:sz w:val="20"/>
          <w:lang w:val="es-AR"/>
        </w:rPr>
      </w:pPr>
      <w:r w:rsidRPr="00AB7B88">
        <w:rPr>
          <w:rStyle w:val="BodytextItalic"/>
          <w:color w:val="000000"/>
          <w:sz w:val="20"/>
          <w:lang w:val="es-AR" w:eastAsia="es-ES_tradnl"/>
        </w:rPr>
        <w:lastRenderedPageBreak/>
        <w:t>(Immersion Legal)</w:t>
      </w:r>
    </w:p>
    <w:p w14:paraId="3B1E014E" w14:textId="77777777" w:rsidR="009D500C" w:rsidRPr="00AB7B88" w:rsidRDefault="003B3957" w:rsidP="003F2704">
      <w:pPr>
        <w:pStyle w:val="Bodytext1"/>
        <w:shd w:val="clear" w:color="auto" w:fill="auto"/>
        <w:spacing w:before="380" w:line="360" w:lineRule="auto"/>
        <w:ind w:left="522" w:firstLine="0"/>
        <w:rPr>
          <w:rStyle w:val="Bodytext"/>
          <w:color w:val="000000"/>
          <w:sz w:val="20"/>
          <w:lang w:val="es-AR" w:eastAsia="es-ES_tradnl"/>
        </w:rPr>
      </w:pPr>
      <w:r w:rsidRPr="00AB7B88">
        <w:rPr>
          <w:rStyle w:val="Bodytext"/>
          <w:color w:val="000000"/>
          <w:sz w:val="20"/>
          <w:lang w:val="es-AR" w:eastAsia="es-ES_tradnl"/>
        </w:rPr>
        <w:t>Sr. Jay Shah</w:t>
      </w:r>
    </w:p>
    <w:p w14:paraId="0924D186"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 Ramiro Rodríguez</w:t>
      </w:r>
    </w:p>
    <w:p w14:paraId="6486C065"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Helga Chulepin</w:t>
      </w:r>
    </w:p>
    <w:p w14:paraId="208FBDCE"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Malay Mukherjee</w:t>
      </w:r>
    </w:p>
    <w:p w14:paraId="45715CE1"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Martin Kannengeiser</w:t>
      </w:r>
    </w:p>
    <w:p w14:paraId="290503CC" w14:textId="77777777" w:rsidR="003B3957" w:rsidRPr="00AB7B88" w:rsidRDefault="003B3957" w:rsidP="003F2704">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w:t>
      </w:r>
      <w:r w:rsidRPr="00AB7B88">
        <w:rPr>
          <w:rStyle w:val="BodytextItalic"/>
          <w:color w:val="000000"/>
          <w:sz w:val="20"/>
          <w:lang w:val="es-AR" w:eastAsia="es-ES_tradnl"/>
        </w:rPr>
        <w:t>Testigos)</w:t>
      </w:r>
    </w:p>
    <w:p w14:paraId="406F7DB4" w14:textId="77777777" w:rsidR="009D500C" w:rsidRPr="00AB7B88" w:rsidRDefault="003B3957" w:rsidP="003F2704">
      <w:pPr>
        <w:pStyle w:val="Bodytext1"/>
        <w:shd w:val="clear" w:color="auto" w:fill="auto"/>
        <w:spacing w:before="380" w:line="360" w:lineRule="auto"/>
        <w:ind w:left="522" w:firstLine="0"/>
        <w:rPr>
          <w:rStyle w:val="Bodytext"/>
          <w:color w:val="000000"/>
          <w:sz w:val="20"/>
          <w:lang w:val="es-AR" w:eastAsia="es-ES_tradnl"/>
        </w:rPr>
      </w:pPr>
      <w:r w:rsidRPr="00AB7B88">
        <w:rPr>
          <w:rStyle w:val="Bodytext"/>
          <w:color w:val="000000"/>
          <w:sz w:val="20"/>
          <w:lang w:val="es-AR" w:eastAsia="es-ES_tradnl"/>
        </w:rPr>
        <w:t>Sr. Manuel Abdala</w:t>
      </w:r>
    </w:p>
    <w:p w14:paraId="10363F01"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 Pablo Zadicoff</w:t>
      </w:r>
    </w:p>
    <w:p w14:paraId="0C1BD053"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Nicholas Dayton</w:t>
      </w:r>
    </w:p>
    <w:p w14:paraId="2213B428"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Carlos Matheus</w:t>
      </w:r>
    </w:p>
    <w:p w14:paraId="68F31841"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Graham Clow</w:t>
      </w:r>
    </w:p>
    <w:p w14:paraId="50F65885"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Rick Lambert</w:t>
      </w:r>
    </w:p>
    <w:p w14:paraId="15AEB72B"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Sra. Brenna Scholey</w:t>
      </w:r>
    </w:p>
    <w:p w14:paraId="6AB59FB8"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Isaac Alfie</w:t>
      </w:r>
    </w:p>
    <w:p w14:paraId="54BD5166"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Dr. Rodney G. Beddows</w:t>
      </w:r>
    </w:p>
    <w:p w14:paraId="7DE8A40C"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Dra. Alicia Castro</w:t>
      </w:r>
    </w:p>
    <w:p w14:paraId="60EA5313"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Dr. Prof. Carlos Delpiazzo</w:t>
      </w:r>
    </w:p>
    <w:p w14:paraId="1881DD57"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Brian Green, QC</w:t>
      </w:r>
    </w:p>
    <w:p w14:paraId="4915197D"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Aramis Latchinian</w:t>
      </w:r>
    </w:p>
    <w:p w14:paraId="497FA3CE"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Ing. Felipe Puig</w:t>
      </w:r>
    </w:p>
    <w:p w14:paraId="40BBF60B" w14:textId="77777777" w:rsidR="009D500C"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Prof W. Michael Reisman</w:t>
      </w:r>
    </w:p>
    <w:p w14:paraId="05DAE688" w14:textId="77777777" w:rsidR="009D500C" w:rsidRPr="00AB7B88" w:rsidRDefault="003B3957" w:rsidP="003F2704">
      <w:pPr>
        <w:pStyle w:val="Bodytext1"/>
        <w:shd w:val="clear" w:color="auto" w:fill="auto"/>
        <w:spacing w:before="0" w:line="360" w:lineRule="auto"/>
        <w:ind w:left="522" w:firstLine="0"/>
        <w:rPr>
          <w:rStyle w:val="Bodytext5NotItalic"/>
          <w:rFonts w:ascii="Times New Roman" w:eastAsia="Arial Unicode MS" w:hAnsi="Times New Roman"/>
          <w:i/>
          <w:iCs/>
          <w:sz w:val="20"/>
          <w:lang w:val="es-AR" w:eastAsia="es-ES_tradnl"/>
        </w:rPr>
      </w:pPr>
      <w:r w:rsidRPr="00AB7B88">
        <w:rPr>
          <w:rStyle w:val="Bodytext5NotItalic"/>
          <w:rFonts w:ascii="Times New Roman" w:eastAsia="Arial Unicode MS" w:hAnsi="Times New Roman"/>
          <w:i/>
          <w:iCs/>
          <w:sz w:val="20"/>
          <w:lang w:val="es-AR" w:eastAsia="es-ES_tradnl"/>
        </w:rPr>
        <w:t>(</w:t>
      </w:r>
      <w:r w:rsidRPr="00AB7B88">
        <w:rPr>
          <w:rStyle w:val="Bodytext5"/>
          <w:i/>
          <w:iCs/>
          <w:color w:val="000000"/>
          <w:sz w:val="20"/>
          <w:lang w:val="es-AR" w:eastAsia="es-ES_tradnl"/>
        </w:rPr>
        <w:t>Peritos</w:t>
      </w:r>
      <w:r w:rsidRPr="00AB7B88">
        <w:rPr>
          <w:rStyle w:val="Bodytext5NotItalic"/>
          <w:rFonts w:ascii="Times New Roman" w:eastAsia="Arial Unicode MS" w:hAnsi="Times New Roman"/>
          <w:i/>
          <w:iCs/>
          <w:sz w:val="20"/>
          <w:lang w:val="es-AR" w:eastAsia="es-ES_tradnl"/>
        </w:rPr>
        <w:t>)</w:t>
      </w:r>
    </w:p>
    <w:p w14:paraId="39CA9D6A" w14:textId="77777777" w:rsidR="009D500C" w:rsidRPr="00AB7B88" w:rsidRDefault="003B3957" w:rsidP="003F2704">
      <w:pPr>
        <w:pStyle w:val="Bodytext1"/>
        <w:shd w:val="clear" w:color="auto" w:fill="auto"/>
        <w:spacing w:before="380" w:line="360" w:lineRule="auto"/>
        <w:ind w:left="522" w:firstLine="0"/>
        <w:rPr>
          <w:color w:val="000000"/>
          <w:sz w:val="20"/>
          <w:u w:val="single"/>
          <w:lang w:val="es-AR" w:eastAsia="es-ES_tradnl"/>
        </w:rPr>
      </w:pPr>
      <w:r w:rsidRPr="00AB7B88">
        <w:rPr>
          <w:color w:val="000000"/>
          <w:sz w:val="20"/>
          <w:u w:val="single"/>
          <w:lang w:val="es-AR" w:eastAsia="es-ES_tradnl"/>
        </w:rPr>
        <w:t>La Demandada</w:t>
      </w:r>
    </w:p>
    <w:p w14:paraId="2D05B337" w14:textId="77777777" w:rsidR="009D500C" w:rsidRPr="00AB7B88" w:rsidRDefault="003B3957" w:rsidP="003F2704">
      <w:pPr>
        <w:pStyle w:val="Bodytext1"/>
        <w:shd w:val="clear" w:color="auto" w:fill="auto"/>
        <w:spacing w:before="380" w:line="360" w:lineRule="auto"/>
        <w:ind w:left="522" w:firstLine="0"/>
        <w:rPr>
          <w:rStyle w:val="Bodytext"/>
          <w:color w:val="000000"/>
          <w:sz w:val="20"/>
          <w:lang w:val="it-CH" w:eastAsia="es-ES_tradnl"/>
        </w:rPr>
      </w:pPr>
      <w:r w:rsidRPr="00AB7B88">
        <w:rPr>
          <w:rStyle w:val="Bodytext"/>
          <w:color w:val="000000"/>
          <w:sz w:val="20"/>
          <w:lang w:val="it-CH" w:eastAsia="es-ES_tradnl"/>
        </w:rPr>
        <w:t>Sr. Miguel Ángel Toma</w:t>
      </w:r>
    </w:p>
    <w:p w14:paraId="4EB9184D"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it-CH" w:eastAsia="es-ES_tradnl"/>
        </w:rPr>
      </w:pPr>
      <w:r w:rsidRPr="00AB7B88">
        <w:rPr>
          <w:rStyle w:val="Bodytext"/>
          <w:color w:val="000000"/>
          <w:sz w:val="20"/>
          <w:lang w:val="it-CH" w:eastAsia="es-ES_tradnl"/>
        </w:rPr>
        <w:t>Sra. Sara Ilha</w:t>
      </w:r>
    </w:p>
    <w:p w14:paraId="2DE61B37"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it-CH" w:eastAsia="es-ES_tradnl"/>
        </w:rPr>
      </w:pPr>
      <w:r w:rsidRPr="00AB7B88">
        <w:rPr>
          <w:rStyle w:val="Bodytext"/>
          <w:color w:val="000000"/>
          <w:sz w:val="20"/>
          <w:lang w:val="it-CH" w:eastAsia="es-ES_tradnl"/>
        </w:rPr>
        <w:t>Sra. Antonella Intrioni</w:t>
      </w:r>
    </w:p>
    <w:p w14:paraId="6FAECD44" w14:textId="77777777" w:rsidR="002B7952" w:rsidRPr="00AB7B88" w:rsidRDefault="003B3957" w:rsidP="003F2704">
      <w:pPr>
        <w:pStyle w:val="Bodytext1"/>
        <w:shd w:val="clear" w:color="auto" w:fill="auto"/>
        <w:spacing w:before="0" w:line="360" w:lineRule="auto"/>
        <w:ind w:left="522" w:firstLine="0"/>
        <w:rPr>
          <w:rStyle w:val="Bodytext"/>
          <w:color w:val="000000"/>
          <w:sz w:val="20"/>
          <w:lang w:val="it-CH" w:eastAsia="es-ES_tradnl"/>
        </w:rPr>
      </w:pPr>
      <w:r w:rsidRPr="00AB7B88">
        <w:rPr>
          <w:rStyle w:val="Bodytext"/>
          <w:color w:val="000000"/>
          <w:sz w:val="20"/>
          <w:lang w:val="it-CH" w:eastAsia="es-ES_tradnl"/>
        </w:rPr>
        <w:t>Sra. Giuliana Pérez</w:t>
      </w:r>
    </w:p>
    <w:p w14:paraId="2005A410" w14:textId="77777777" w:rsidR="002B7952" w:rsidRPr="00AB7B88" w:rsidRDefault="003B3957" w:rsidP="003F2704">
      <w:pPr>
        <w:pStyle w:val="Bodytext1"/>
        <w:shd w:val="clear" w:color="auto" w:fill="auto"/>
        <w:spacing w:before="0" w:line="360" w:lineRule="auto"/>
        <w:ind w:left="522" w:firstLine="0"/>
        <w:rPr>
          <w:rStyle w:val="Bodytext"/>
          <w:color w:val="000000"/>
          <w:sz w:val="20"/>
          <w:lang w:val="it-CH" w:eastAsia="es-ES_tradnl"/>
        </w:rPr>
      </w:pPr>
      <w:r w:rsidRPr="00AB7B88">
        <w:rPr>
          <w:rStyle w:val="Bodytext"/>
          <w:color w:val="000000"/>
          <w:sz w:val="20"/>
          <w:lang w:val="it-CH" w:eastAsia="es-ES_tradnl"/>
        </w:rPr>
        <w:t>Emb. Carlos Gianelli</w:t>
      </w:r>
    </w:p>
    <w:p w14:paraId="1373C51E" w14:textId="77777777" w:rsidR="00BC5A22" w:rsidRPr="00AB7B88" w:rsidRDefault="003B3957" w:rsidP="003F2704">
      <w:pPr>
        <w:pStyle w:val="Bodytext1"/>
        <w:shd w:val="clear" w:color="auto" w:fill="auto"/>
        <w:spacing w:before="0" w:line="360" w:lineRule="auto"/>
        <w:ind w:left="522" w:firstLine="0"/>
        <w:rPr>
          <w:rStyle w:val="BodytextItalic"/>
          <w:color w:val="000000"/>
          <w:sz w:val="20"/>
          <w:lang w:val="es-AR" w:eastAsia="es-ES_tradnl"/>
        </w:rPr>
      </w:pPr>
      <w:r w:rsidRPr="00AB7B88">
        <w:rPr>
          <w:rStyle w:val="BodytextItalic"/>
          <w:color w:val="000000"/>
          <w:sz w:val="20"/>
          <w:lang w:val="es-AR" w:eastAsia="es-ES_tradnl"/>
        </w:rPr>
        <w:t>(Representantes del Estado)</w:t>
      </w:r>
    </w:p>
    <w:p w14:paraId="5B5DD86D" w14:textId="77777777" w:rsidR="00BC5A22" w:rsidRPr="00AB7B88" w:rsidRDefault="003B3957" w:rsidP="003F2704">
      <w:pPr>
        <w:pStyle w:val="Bodytext1"/>
        <w:shd w:val="clear" w:color="auto" w:fill="auto"/>
        <w:spacing w:before="380" w:line="360" w:lineRule="auto"/>
        <w:ind w:left="522" w:firstLine="0"/>
        <w:rPr>
          <w:rStyle w:val="Bodytext"/>
          <w:color w:val="000000"/>
          <w:sz w:val="20"/>
          <w:lang w:val="es-AR" w:eastAsia="es-ES_tradnl"/>
        </w:rPr>
      </w:pPr>
      <w:r w:rsidRPr="00AB7B88">
        <w:rPr>
          <w:rStyle w:val="Bodytext"/>
          <w:color w:val="000000"/>
          <w:sz w:val="20"/>
          <w:lang w:val="es-AR" w:eastAsia="es-ES_tradnl"/>
        </w:rPr>
        <w:t>Sr. Paul Reichler</w:t>
      </w:r>
    </w:p>
    <w:p w14:paraId="3A44C735"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lastRenderedPageBreak/>
        <w:t>Sra. Clara Brillembourg</w:t>
      </w:r>
    </w:p>
    <w:p w14:paraId="7B9B0E86"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Tafadzwa Pasipanodya</w:t>
      </w:r>
    </w:p>
    <w:p w14:paraId="06891575"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 Derek Smith</w:t>
      </w:r>
    </w:p>
    <w:p w14:paraId="5408D6D6"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Diana Paraguacuto-Maheo</w:t>
      </w:r>
    </w:p>
    <w:p w14:paraId="7226A575"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Christina Beharry</w:t>
      </w:r>
    </w:p>
    <w:p w14:paraId="4FA671EA"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Yuri Parkhomenko</w:t>
      </w:r>
    </w:p>
    <w:p w14:paraId="3F6CF3F3"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Diego Cadena</w:t>
      </w:r>
    </w:p>
    <w:p w14:paraId="51D7983A"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 Ofilio Mayorga</w:t>
      </w:r>
    </w:p>
    <w:p w14:paraId="56F7D8F0"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Madeleine Rodríguez</w:t>
      </w:r>
    </w:p>
    <w:p w14:paraId="7D4A504B"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 Joseph Klingler</w:t>
      </w:r>
    </w:p>
    <w:p w14:paraId="26F736AC"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Alejandra Torres Camprubí</w:t>
      </w:r>
    </w:p>
    <w:p w14:paraId="74F92DD6"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Elisa Méndez Br</w:t>
      </w:r>
      <w:r w:rsidR="00CB4074" w:rsidRPr="00AB7B88">
        <w:rPr>
          <w:rFonts w:cs="NotoSerif"/>
          <w:sz w:val="19"/>
          <w:szCs w:val="19"/>
          <w:lang w:val="es-AR"/>
        </w:rPr>
        <w:t>ä</w:t>
      </w:r>
      <w:r w:rsidRPr="00AB7B88">
        <w:rPr>
          <w:rStyle w:val="Bodytext"/>
          <w:color w:val="000000"/>
          <w:sz w:val="20"/>
          <w:lang w:val="es-AR" w:eastAsia="es-ES_tradnl"/>
        </w:rPr>
        <w:t>utigam</w:t>
      </w:r>
    </w:p>
    <w:p w14:paraId="16606447"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Henrika Missick de López</w:t>
      </w:r>
    </w:p>
    <w:p w14:paraId="0AF3C340"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Nanami Hirata</w:t>
      </w:r>
    </w:p>
    <w:p w14:paraId="44961E5B"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 Oscar Norsworthy</w:t>
      </w:r>
    </w:p>
    <w:p w14:paraId="4E175410"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Génesis Mercado</w:t>
      </w:r>
    </w:p>
    <w:p w14:paraId="7000BCD5"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David Bernier</w:t>
      </w:r>
    </w:p>
    <w:p w14:paraId="67591B1B"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Sra. Nancy López</w:t>
      </w:r>
    </w:p>
    <w:p w14:paraId="6071D205"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Sra. Carmen de Jesús</w:t>
      </w:r>
    </w:p>
    <w:p w14:paraId="0992E349"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Peter Hakim</w:t>
      </w:r>
    </w:p>
    <w:p w14:paraId="63261659"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Sra. Patricia Reichler</w:t>
      </w:r>
    </w:p>
    <w:p w14:paraId="47344254" w14:textId="77777777" w:rsidR="00BC5A22" w:rsidRPr="00AB7B88" w:rsidRDefault="003B3957" w:rsidP="003F2704">
      <w:pPr>
        <w:pStyle w:val="Bodytext1"/>
        <w:shd w:val="clear" w:color="auto" w:fill="auto"/>
        <w:spacing w:before="0" w:line="360" w:lineRule="auto"/>
        <w:ind w:left="522" w:firstLine="0"/>
        <w:rPr>
          <w:rStyle w:val="Bodytext5"/>
          <w:i/>
          <w:iCs/>
          <w:color w:val="000000"/>
          <w:sz w:val="20"/>
          <w:lang w:val="de-DE" w:eastAsia="es-ES_tradnl"/>
        </w:rPr>
      </w:pPr>
      <w:r w:rsidRPr="00AB7B88">
        <w:rPr>
          <w:rStyle w:val="Bodytext5"/>
          <w:i/>
          <w:iCs/>
          <w:color w:val="000000"/>
          <w:sz w:val="20"/>
          <w:lang w:val="de-DE" w:eastAsia="es-ES_tradnl"/>
        </w:rPr>
        <w:t>(Foley Hoag LLP)</w:t>
      </w:r>
    </w:p>
    <w:p w14:paraId="3AE15CDE" w14:textId="77777777" w:rsidR="00BC5A22" w:rsidRPr="00AB7B88" w:rsidRDefault="003B3957" w:rsidP="003F2704">
      <w:pPr>
        <w:pStyle w:val="Bodytext1"/>
        <w:shd w:val="clear" w:color="auto" w:fill="auto"/>
        <w:spacing w:before="380" w:line="360" w:lineRule="auto"/>
        <w:ind w:left="522" w:firstLine="0"/>
        <w:rPr>
          <w:rStyle w:val="Bodytext"/>
          <w:color w:val="000000"/>
          <w:sz w:val="20"/>
          <w:lang w:val="de-DE" w:eastAsia="es-ES_tradnl"/>
        </w:rPr>
      </w:pPr>
      <w:r w:rsidRPr="00AB7B88">
        <w:rPr>
          <w:rStyle w:val="Bodytext"/>
          <w:color w:val="000000"/>
          <w:sz w:val="20"/>
          <w:lang w:val="de-DE" w:eastAsia="es-ES_tradnl"/>
        </w:rPr>
        <w:t>Sr. Ray Mcleod</w:t>
      </w:r>
    </w:p>
    <w:p w14:paraId="72B48E02"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Danis Brito</w:t>
      </w:r>
    </w:p>
    <w:p w14:paraId="13B8C902" w14:textId="77777777" w:rsidR="00BC5A22" w:rsidRPr="00AB7B88" w:rsidRDefault="003B3957" w:rsidP="003F2704">
      <w:pPr>
        <w:pStyle w:val="Bodytext1"/>
        <w:shd w:val="clear" w:color="auto" w:fill="auto"/>
        <w:spacing w:before="0" w:line="360" w:lineRule="auto"/>
        <w:ind w:left="522" w:firstLine="0"/>
        <w:rPr>
          <w:rStyle w:val="Bodytext5"/>
          <w:i/>
          <w:iCs/>
          <w:color w:val="000000"/>
          <w:sz w:val="20"/>
          <w:lang w:val="de-DE" w:eastAsia="es-ES_tradnl"/>
        </w:rPr>
      </w:pPr>
      <w:r w:rsidRPr="00AB7B88">
        <w:rPr>
          <w:rStyle w:val="Bodytext5"/>
          <w:i/>
          <w:iCs/>
          <w:color w:val="000000"/>
          <w:sz w:val="20"/>
          <w:lang w:val="de-DE" w:eastAsia="es-ES_tradnl"/>
        </w:rPr>
        <w:t>(DOAR Litigation Consulting)</w:t>
      </w:r>
    </w:p>
    <w:p w14:paraId="330402F5" w14:textId="77777777" w:rsidR="00BC5A22" w:rsidRPr="00AB7B88" w:rsidRDefault="003B3957" w:rsidP="003F2704">
      <w:pPr>
        <w:pStyle w:val="Bodytext1"/>
        <w:shd w:val="clear" w:color="auto" w:fill="auto"/>
        <w:spacing w:before="380" w:line="360" w:lineRule="auto"/>
        <w:ind w:left="522" w:firstLine="0"/>
        <w:rPr>
          <w:rStyle w:val="Bodytext"/>
          <w:color w:val="000000"/>
          <w:sz w:val="20"/>
          <w:lang w:val="de-DE" w:eastAsia="es-ES_tradnl"/>
        </w:rPr>
      </w:pPr>
      <w:r w:rsidRPr="00AB7B88">
        <w:rPr>
          <w:rStyle w:val="Bodytext"/>
          <w:color w:val="000000"/>
          <w:sz w:val="20"/>
          <w:lang w:val="de-DE" w:eastAsia="es-ES_tradnl"/>
        </w:rPr>
        <w:t>Sr. Agustín Texo Denes</w:t>
      </w:r>
    </w:p>
    <w:p w14:paraId="3BF23171" w14:textId="77777777" w:rsidR="003B3957" w:rsidRPr="00AB7B88" w:rsidRDefault="003B3957" w:rsidP="003F2704">
      <w:pPr>
        <w:pStyle w:val="Bodytext1"/>
        <w:shd w:val="clear" w:color="auto" w:fill="auto"/>
        <w:spacing w:before="0" w:line="360" w:lineRule="auto"/>
        <w:ind w:left="522" w:firstLine="0"/>
        <w:rPr>
          <w:sz w:val="20"/>
          <w:lang w:val="de-DE"/>
        </w:rPr>
      </w:pPr>
      <w:r w:rsidRPr="00AB7B88">
        <w:rPr>
          <w:rStyle w:val="Bodytext5"/>
          <w:i/>
          <w:iCs/>
          <w:color w:val="000000"/>
          <w:sz w:val="20"/>
          <w:lang w:val="de-DE" w:eastAsia="es-ES_tradnl"/>
        </w:rPr>
        <w:t>(Bado, Kuster, Zerbino &amp; Rachetti Abogados)</w:t>
      </w:r>
    </w:p>
    <w:p w14:paraId="555F9DFB" w14:textId="77777777" w:rsidR="00BC5A22" w:rsidRPr="00AB7B88" w:rsidRDefault="003B3957" w:rsidP="003F2704">
      <w:pPr>
        <w:pStyle w:val="Bodytext1"/>
        <w:shd w:val="clear" w:color="auto" w:fill="auto"/>
        <w:spacing w:before="380" w:line="360" w:lineRule="auto"/>
        <w:ind w:left="522" w:firstLine="0"/>
        <w:rPr>
          <w:rStyle w:val="Bodytext"/>
          <w:color w:val="000000"/>
          <w:sz w:val="20"/>
          <w:lang w:val="de-DE" w:eastAsia="es-ES_tradnl"/>
        </w:rPr>
      </w:pPr>
      <w:r w:rsidRPr="00AB7B88">
        <w:rPr>
          <w:rStyle w:val="Bodytext"/>
          <w:color w:val="000000"/>
          <w:sz w:val="20"/>
          <w:lang w:val="de-DE" w:eastAsia="es-ES_tradnl"/>
        </w:rPr>
        <w:t>Sra. Florencia Ualde</w:t>
      </w:r>
    </w:p>
    <w:p w14:paraId="503C8F88" w14:textId="77777777" w:rsidR="00BC5A22" w:rsidRPr="00AB7B88" w:rsidRDefault="003B3957" w:rsidP="003F2704">
      <w:pPr>
        <w:pStyle w:val="Bodytext1"/>
        <w:shd w:val="clear" w:color="auto" w:fill="auto"/>
        <w:spacing w:before="0" w:line="360" w:lineRule="auto"/>
        <w:ind w:left="522" w:firstLine="0"/>
        <w:rPr>
          <w:rStyle w:val="Bodytext5"/>
          <w:i/>
          <w:iCs/>
          <w:color w:val="000000"/>
          <w:sz w:val="20"/>
          <w:lang w:val="es-AR" w:eastAsia="es-ES_tradnl"/>
        </w:rPr>
      </w:pPr>
      <w:r w:rsidRPr="00AB7B88">
        <w:rPr>
          <w:rStyle w:val="Bodytext5"/>
          <w:i/>
          <w:iCs/>
          <w:color w:val="000000"/>
          <w:sz w:val="20"/>
          <w:lang w:val="es-AR" w:eastAsia="es-ES_tradnl"/>
        </w:rPr>
        <w:t>(Ministerio de Industria, Energíay</w:t>
      </w:r>
      <w:r w:rsidR="00BB1A25" w:rsidRPr="00AB7B88">
        <w:rPr>
          <w:rStyle w:val="Bodytext5"/>
          <w:i/>
          <w:iCs/>
          <w:color w:val="000000"/>
          <w:sz w:val="20"/>
          <w:lang w:val="es-AR" w:eastAsia="es-ES_tradnl"/>
        </w:rPr>
        <w:t xml:space="preserve"> </w:t>
      </w:r>
      <w:r w:rsidRPr="00AB7B88">
        <w:rPr>
          <w:rStyle w:val="Bodytext5"/>
          <w:i/>
          <w:iCs/>
          <w:color w:val="000000"/>
          <w:sz w:val="20"/>
          <w:lang w:val="es-AR" w:eastAsia="es-ES_tradnl"/>
        </w:rPr>
        <w:t>Minería de la República Oriental del Uruguay Dirección General de Secretaría)</w:t>
      </w:r>
    </w:p>
    <w:p w14:paraId="3E5B3D15" w14:textId="77777777" w:rsidR="00BC5A22" w:rsidRPr="00AB7B88" w:rsidRDefault="003B3957" w:rsidP="003F2704">
      <w:pPr>
        <w:pStyle w:val="Bodytext1"/>
        <w:shd w:val="clear" w:color="auto" w:fill="auto"/>
        <w:spacing w:before="380" w:line="360" w:lineRule="auto"/>
        <w:ind w:left="522" w:firstLine="0"/>
        <w:rPr>
          <w:rStyle w:val="Bodytext"/>
          <w:color w:val="000000"/>
          <w:sz w:val="20"/>
          <w:lang w:val="es-AR" w:eastAsia="es-ES_tradnl"/>
        </w:rPr>
      </w:pPr>
      <w:r w:rsidRPr="00AB7B88">
        <w:rPr>
          <w:rStyle w:val="Bodytext"/>
          <w:color w:val="000000"/>
          <w:sz w:val="20"/>
          <w:lang w:val="es-AR" w:eastAsia="es-ES_tradnl"/>
        </w:rPr>
        <w:t>Sra. Leda Sánchez Bettucci</w:t>
      </w:r>
    </w:p>
    <w:p w14:paraId="4D431EF4" w14:textId="77777777" w:rsidR="00BC5A22" w:rsidRPr="00AB7B88" w:rsidRDefault="003B3957" w:rsidP="003F2704">
      <w:pPr>
        <w:pStyle w:val="Bodytext1"/>
        <w:shd w:val="clear" w:color="auto" w:fill="auto"/>
        <w:spacing w:before="0" w:line="360" w:lineRule="auto"/>
        <w:ind w:left="522" w:firstLine="0"/>
        <w:rPr>
          <w:rStyle w:val="Bodytext5"/>
          <w:i/>
          <w:iCs/>
          <w:color w:val="000000"/>
          <w:sz w:val="20"/>
          <w:lang w:val="es-AR" w:eastAsia="es-ES_tradnl"/>
        </w:rPr>
      </w:pPr>
      <w:r w:rsidRPr="00AB7B88">
        <w:rPr>
          <w:rStyle w:val="Bodytext5"/>
          <w:i/>
          <w:iCs/>
          <w:color w:val="000000"/>
          <w:sz w:val="20"/>
          <w:lang w:val="es-AR" w:eastAsia="es-ES_tradnl"/>
        </w:rPr>
        <w:t>(Universidad de la República, República Oriental del Uruguay)</w:t>
      </w:r>
    </w:p>
    <w:p w14:paraId="230745B1" w14:textId="77777777" w:rsidR="00BC5A22" w:rsidRPr="00AB7B88" w:rsidRDefault="003B3957" w:rsidP="003F2704">
      <w:pPr>
        <w:pStyle w:val="Bodytext1"/>
        <w:shd w:val="clear" w:color="auto" w:fill="auto"/>
        <w:spacing w:before="380" w:line="360" w:lineRule="auto"/>
        <w:ind w:left="522" w:firstLine="0"/>
        <w:rPr>
          <w:rStyle w:val="Bodytext"/>
          <w:color w:val="000000"/>
          <w:sz w:val="20"/>
          <w:lang w:val="it-CH" w:eastAsia="es-ES_tradnl"/>
        </w:rPr>
      </w:pPr>
      <w:r w:rsidRPr="00AB7B88">
        <w:rPr>
          <w:rStyle w:val="Bodytext"/>
          <w:color w:val="000000"/>
          <w:sz w:val="20"/>
          <w:lang w:val="it-CH" w:eastAsia="es-ES_tradnl"/>
        </w:rPr>
        <w:lastRenderedPageBreak/>
        <w:t>Sr. Roberto Kreimerman</w:t>
      </w:r>
    </w:p>
    <w:p w14:paraId="690962FA"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it-CH" w:eastAsia="es-ES_tradnl"/>
        </w:rPr>
      </w:pPr>
      <w:r w:rsidRPr="00AB7B88">
        <w:rPr>
          <w:rStyle w:val="Bodytext"/>
          <w:color w:val="000000"/>
          <w:sz w:val="20"/>
          <w:lang w:val="it-CH" w:eastAsia="es-ES_tradnl"/>
        </w:rPr>
        <w:t>Sra. Fernanda Cardona</w:t>
      </w:r>
    </w:p>
    <w:p w14:paraId="2826FC32"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it-CH" w:eastAsia="es-ES_tradnl"/>
        </w:rPr>
      </w:pPr>
      <w:r w:rsidRPr="00AB7B88">
        <w:rPr>
          <w:rStyle w:val="Bodytext"/>
          <w:color w:val="000000"/>
          <w:sz w:val="20"/>
          <w:lang w:val="it-CH" w:eastAsia="es-ES_tradnl"/>
        </w:rPr>
        <w:t>Sra. Raquel Piaggio</w:t>
      </w:r>
    </w:p>
    <w:p w14:paraId="7AA5C8CD"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it-CH" w:eastAsia="es-ES_tradnl"/>
        </w:rPr>
      </w:pPr>
      <w:r w:rsidRPr="00AB7B88">
        <w:rPr>
          <w:rStyle w:val="Bodytext"/>
          <w:color w:val="000000"/>
          <w:sz w:val="20"/>
          <w:lang w:val="it-CH" w:eastAsia="es-ES_tradnl"/>
        </w:rPr>
        <w:t>Sr. Eugenio Lorenzo</w:t>
      </w:r>
    </w:p>
    <w:p w14:paraId="45155AFB"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it-CH" w:eastAsia="es-ES_tradnl"/>
        </w:rPr>
      </w:pPr>
      <w:r w:rsidRPr="00AB7B88">
        <w:rPr>
          <w:rStyle w:val="Bodytext"/>
          <w:color w:val="000000"/>
          <w:sz w:val="20"/>
          <w:lang w:val="it-CH" w:eastAsia="es-ES_tradnl"/>
        </w:rPr>
        <w:t>Sr. Pablo Genta</w:t>
      </w:r>
    </w:p>
    <w:p w14:paraId="5F50286C"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it-CH" w:eastAsia="es-ES_tradnl"/>
        </w:rPr>
      </w:pPr>
      <w:r w:rsidRPr="00AB7B88">
        <w:rPr>
          <w:rStyle w:val="Bodytext"/>
          <w:color w:val="000000"/>
          <w:sz w:val="20"/>
          <w:lang w:val="it-CH" w:eastAsia="es-ES_tradnl"/>
        </w:rPr>
        <w:t>Sra. Graciela Soler</w:t>
      </w:r>
    </w:p>
    <w:p w14:paraId="212B9DE3"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it-CH" w:eastAsia="es-ES_tradnl"/>
        </w:rPr>
      </w:pPr>
      <w:r w:rsidRPr="00AB7B88">
        <w:rPr>
          <w:rStyle w:val="Bodytext"/>
          <w:color w:val="000000"/>
          <w:sz w:val="20"/>
          <w:lang w:val="it-CH" w:eastAsia="es-ES_tradnl"/>
        </w:rPr>
        <w:t>Sr. Andrés Masoller</w:t>
      </w:r>
    </w:p>
    <w:p w14:paraId="2154E176"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it-CH" w:eastAsia="es-ES_tradnl"/>
        </w:rPr>
      </w:pPr>
      <w:r w:rsidRPr="00AB7B88">
        <w:rPr>
          <w:rStyle w:val="Bodytext"/>
          <w:color w:val="000000"/>
          <w:sz w:val="20"/>
          <w:lang w:val="it-CH" w:eastAsia="es-ES_tradnl"/>
        </w:rPr>
        <w:t>Sr. Néstor Campal</w:t>
      </w:r>
    </w:p>
    <w:p w14:paraId="505A3718" w14:textId="77777777" w:rsidR="00BC5A22" w:rsidRPr="00AB7B88" w:rsidRDefault="003B3957" w:rsidP="003F2704">
      <w:pPr>
        <w:pStyle w:val="Bodytext1"/>
        <w:shd w:val="clear" w:color="auto" w:fill="auto"/>
        <w:spacing w:before="0" w:line="360" w:lineRule="auto"/>
        <w:ind w:left="522" w:firstLine="0"/>
        <w:rPr>
          <w:rStyle w:val="BodytextItalic"/>
          <w:color w:val="000000"/>
          <w:sz w:val="20"/>
          <w:lang w:val="it-CH" w:eastAsia="es-ES_tradnl"/>
        </w:rPr>
      </w:pPr>
      <w:r w:rsidRPr="00AB7B88">
        <w:rPr>
          <w:rStyle w:val="Bodytext"/>
          <w:color w:val="000000"/>
          <w:sz w:val="20"/>
          <w:lang w:val="it-CH" w:eastAsia="es-ES_tradnl"/>
        </w:rPr>
        <w:t>(</w:t>
      </w:r>
      <w:r w:rsidRPr="00AB7B88">
        <w:rPr>
          <w:rStyle w:val="BodytextItalic"/>
          <w:color w:val="000000"/>
          <w:sz w:val="20"/>
          <w:lang w:val="it-CH" w:eastAsia="es-ES_tradnl"/>
        </w:rPr>
        <w:t>Testigos)</w:t>
      </w:r>
    </w:p>
    <w:p w14:paraId="30007BA5" w14:textId="77777777" w:rsidR="00BC5A22" w:rsidRPr="00AB7B88" w:rsidRDefault="003B3957" w:rsidP="003F2704">
      <w:pPr>
        <w:pStyle w:val="Bodytext1"/>
        <w:shd w:val="clear" w:color="auto" w:fill="auto"/>
        <w:spacing w:before="380" w:line="360" w:lineRule="auto"/>
        <w:ind w:left="522" w:firstLine="0"/>
        <w:rPr>
          <w:rStyle w:val="Bodytext"/>
          <w:color w:val="000000"/>
          <w:sz w:val="20"/>
          <w:lang w:val="it-CH" w:eastAsia="es-ES_tradnl"/>
        </w:rPr>
      </w:pPr>
      <w:r w:rsidRPr="00AB7B88">
        <w:rPr>
          <w:rStyle w:val="Bodytext"/>
          <w:color w:val="000000"/>
          <w:sz w:val="20"/>
          <w:lang w:val="it-CH" w:eastAsia="es-ES_tradnl"/>
        </w:rPr>
        <w:t>Sra. Rachael Reynolds</w:t>
      </w:r>
    </w:p>
    <w:p w14:paraId="1D94404F" w14:textId="77777777" w:rsidR="00BC5A22"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James Otto</w:t>
      </w:r>
    </w:p>
    <w:p w14:paraId="5B73E898" w14:textId="77777777" w:rsidR="003B3957" w:rsidRPr="00AB7B88" w:rsidRDefault="003B3957" w:rsidP="003F2704">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Sr. Jorge Fernández Reyes</w:t>
      </w:r>
    </w:p>
    <w:p w14:paraId="08AEFD84" w14:textId="77777777" w:rsidR="003B3957" w:rsidRPr="00AB7B88" w:rsidRDefault="003B3957" w:rsidP="003F2704">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 Santiago Pereira Campos</w:t>
      </w:r>
    </w:p>
    <w:p w14:paraId="3C4072D1" w14:textId="77777777" w:rsidR="003B3957" w:rsidRPr="00AB7B88" w:rsidRDefault="003B3957" w:rsidP="003F2704">
      <w:pPr>
        <w:pStyle w:val="Bodytext51"/>
        <w:shd w:val="clear" w:color="auto" w:fill="auto"/>
        <w:spacing w:before="0" w:after="0" w:line="360" w:lineRule="auto"/>
        <w:ind w:left="522" w:firstLine="0"/>
        <w:rPr>
          <w:sz w:val="20"/>
          <w:lang w:val="es-AR"/>
        </w:rPr>
      </w:pPr>
      <w:r w:rsidRPr="00AB7B88">
        <w:rPr>
          <w:rStyle w:val="Bodytext5NotItalic"/>
          <w:rFonts w:ascii="Times New Roman" w:eastAsia="Arial Unicode MS" w:hAnsi="Times New Roman"/>
          <w:iCs/>
          <w:sz w:val="20"/>
          <w:lang w:val="es-AR" w:eastAsia="es-ES_tradnl"/>
        </w:rPr>
        <w:t>Sr. Augusto Durán Martínez</w:t>
      </w:r>
      <w:r w:rsidR="00BC5A22" w:rsidRPr="00AB7B88">
        <w:rPr>
          <w:rStyle w:val="Bodytext5NotItalic"/>
          <w:rFonts w:ascii="Times New Roman" w:eastAsia="Arial Unicode MS" w:hAnsi="Times New Roman"/>
          <w:iCs/>
          <w:sz w:val="20"/>
          <w:lang w:val="es-AR" w:eastAsia="es-ES_tradnl"/>
        </w:rPr>
        <w:t xml:space="preserve"> </w:t>
      </w:r>
      <w:r w:rsidRPr="00AB7B88">
        <w:rPr>
          <w:rStyle w:val="Bodytext5"/>
          <w:i/>
          <w:iCs/>
          <w:color w:val="000000"/>
          <w:sz w:val="20"/>
          <w:lang w:val="es-AR" w:eastAsia="es-ES_tradnl"/>
        </w:rPr>
        <w:t>(por video el 31 de enero de 2020)</w:t>
      </w:r>
    </w:p>
    <w:p w14:paraId="0F8188CE" w14:textId="77777777" w:rsidR="00DB1929"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Andrés Blanco</w:t>
      </w:r>
    </w:p>
    <w:p w14:paraId="776A083F" w14:textId="77777777" w:rsidR="00DB1929"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Félix Abadi</w:t>
      </w:r>
    </w:p>
    <w:p w14:paraId="39CB48AE" w14:textId="77777777" w:rsidR="00DB1929"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Joe Hinzer</w:t>
      </w:r>
    </w:p>
    <w:p w14:paraId="46B01559" w14:textId="77777777" w:rsidR="00DB1929"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Ross McFarlane</w:t>
      </w:r>
    </w:p>
    <w:p w14:paraId="6C2FE4E0" w14:textId="77777777" w:rsidR="00DB1929"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Hans Nilsson</w:t>
      </w:r>
    </w:p>
    <w:p w14:paraId="046C54A6" w14:textId="77777777" w:rsidR="00DB1929"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Daniel Flores</w:t>
      </w:r>
    </w:p>
    <w:p w14:paraId="4AF80DBD" w14:textId="77777777" w:rsidR="00DB1929"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Darío Gatti</w:t>
      </w:r>
    </w:p>
    <w:p w14:paraId="2933F6A9" w14:textId="77777777" w:rsidR="00DB1929"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 Jordan Heim</w:t>
      </w:r>
    </w:p>
    <w:p w14:paraId="498A738E" w14:textId="77777777" w:rsidR="00DB1929"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Sra. Mía Martínez</w:t>
      </w:r>
    </w:p>
    <w:p w14:paraId="5F7FF756" w14:textId="77777777" w:rsidR="00DB1929" w:rsidRPr="00AB7B88" w:rsidRDefault="003B3957" w:rsidP="003F2704">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Prof. August Reinisch</w:t>
      </w:r>
    </w:p>
    <w:p w14:paraId="4B407589" w14:textId="77777777" w:rsidR="00DB1929"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 Leslie Van Rompaey</w:t>
      </w:r>
    </w:p>
    <w:p w14:paraId="02E9D3B4" w14:textId="77777777" w:rsidR="003B3957" w:rsidRPr="00AB7B88" w:rsidRDefault="003B3957" w:rsidP="003F2704">
      <w:pPr>
        <w:pStyle w:val="Bodytext1"/>
        <w:shd w:val="clear" w:color="auto" w:fill="auto"/>
        <w:spacing w:before="0" w:line="360" w:lineRule="auto"/>
        <w:ind w:left="522" w:firstLine="0"/>
        <w:rPr>
          <w:sz w:val="20"/>
          <w:lang w:val="es-AR"/>
        </w:rPr>
      </w:pPr>
      <w:r w:rsidRPr="00AB7B88">
        <w:rPr>
          <w:rStyle w:val="BodytextItalic"/>
          <w:color w:val="000000"/>
          <w:sz w:val="20"/>
          <w:lang w:val="es-AR" w:eastAsia="es-ES_tradnl"/>
        </w:rPr>
        <w:t>(Peritos)</w:t>
      </w:r>
    </w:p>
    <w:p w14:paraId="5F6B4614" w14:textId="77777777" w:rsidR="003B3957" w:rsidRPr="00AB7B88" w:rsidRDefault="003B3957" w:rsidP="003F2704">
      <w:pPr>
        <w:pStyle w:val="Bodytext1"/>
        <w:shd w:val="clear" w:color="auto" w:fill="auto"/>
        <w:spacing w:before="380" w:line="360" w:lineRule="auto"/>
        <w:ind w:left="522" w:firstLine="0"/>
        <w:rPr>
          <w:sz w:val="20"/>
          <w:lang w:val="es-AR"/>
        </w:rPr>
      </w:pPr>
      <w:r w:rsidRPr="00AB7B88">
        <w:rPr>
          <w:color w:val="000000"/>
          <w:sz w:val="20"/>
          <w:u w:val="single"/>
          <w:lang w:val="es-AR" w:eastAsia="es-ES_tradnl"/>
        </w:rPr>
        <w:t>Corte Permanente de Arbitraje</w:t>
      </w:r>
    </w:p>
    <w:p w14:paraId="316C551F" w14:textId="77777777" w:rsidR="00DB1929" w:rsidRPr="00AB7B88" w:rsidRDefault="003B3957" w:rsidP="003F2704">
      <w:pPr>
        <w:pStyle w:val="Bodytext1"/>
        <w:shd w:val="clear" w:color="auto" w:fill="auto"/>
        <w:spacing w:before="380" w:line="360" w:lineRule="auto"/>
        <w:ind w:left="522" w:firstLine="0"/>
        <w:rPr>
          <w:rStyle w:val="Bodytext"/>
          <w:color w:val="000000"/>
          <w:sz w:val="20"/>
          <w:lang w:val="es-AR" w:eastAsia="es-ES_tradnl"/>
        </w:rPr>
      </w:pPr>
      <w:r w:rsidRPr="00AB7B88">
        <w:rPr>
          <w:rStyle w:val="Bodytext"/>
          <w:color w:val="000000"/>
          <w:sz w:val="20"/>
          <w:lang w:val="es-AR" w:eastAsia="es-ES_tradnl"/>
        </w:rPr>
        <w:t>Sr. José Luis Aragón Cardiel, Consejero Legal y Secretario del Tribunal</w:t>
      </w:r>
    </w:p>
    <w:p w14:paraId="240A474D" w14:textId="77777777" w:rsidR="00DB1929"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 Markel Eguiluz Parte, Consejero Legal Adjunto</w:t>
      </w:r>
    </w:p>
    <w:p w14:paraId="395E21ED" w14:textId="77777777" w:rsidR="003B3957" w:rsidRPr="00AB7B88" w:rsidRDefault="003B3957" w:rsidP="003F2704">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 Luis Popoli, Administrador de Casos</w:t>
      </w:r>
    </w:p>
    <w:p w14:paraId="6B48497A" w14:textId="77777777" w:rsidR="003B3957" w:rsidRPr="00AB7B88" w:rsidRDefault="003B3957" w:rsidP="003F2704">
      <w:pPr>
        <w:pStyle w:val="Bodytext1"/>
        <w:shd w:val="clear" w:color="auto" w:fill="auto"/>
        <w:spacing w:before="380" w:line="360" w:lineRule="auto"/>
        <w:ind w:left="522" w:firstLine="0"/>
        <w:rPr>
          <w:sz w:val="20"/>
          <w:lang w:val="es-AR"/>
        </w:rPr>
      </w:pPr>
      <w:r w:rsidRPr="00AB7B88">
        <w:rPr>
          <w:color w:val="000000"/>
          <w:sz w:val="20"/>
          <w:u w:val="single"/>
          <w:lang w:val="es-AR" w:eastAsia="es-ES_tradnl"/>
        </w:rPr>
        <w:t>Taquígrafos</w:t>
      </w:r>
    </w:p>
    <w:p w14:paraId="4F37B8FE" w14:textId="77777777" w:rsidR="009D6E1D"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 David A. Kasdan</w:t>
      </w:r>
    </w:p>
    <w:p w14:paraId="27C0C2DD" w14:textId="77777777" w:rsidR="009D6E1D"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lastRenderedPageBreak/>
        <w:t>Sra. Dawn K. Larson</w:t>
      </w:r>
    </w:p>
    <w:p w14:paraId="290062EA" w14:textId="77777777" w:rsidR="009D6E1D" w:rsidRPr="00AB7B88" w:rsidRDefault="003B3957" w:rsidP="003F2704">
      <w:pPr>
        <w:pStyle w:val="Bodytext1"/>
        <w:shd w:val="clear" w:color="auto" w:fill="auto"/>
        <w:spacing w:before="0" w:line="360" w:lineRule="auto"/>
        <w:ind w:left="522" w:firstLine="0"/>
        <w:rPr>
          <w:rStyle w:val="BodytextItalic"/>
          <w:color w:val="000000"/>
          <w:sz w:val="20"/>
          <w:lang w:val="it-CH" w:eastAsia="es-ES_tradnl"/>
        </w:rPr>
      </w:pPr>
      <w:r w:rsidRPr="00AB7B88">
        <w:rPr>
          <w:rStyle w:val="BodytextItalic"/>
          <w:color w:val="000000"/>
          <w:sz w:val="20"/>
          <w:lang w:val="it-CH" w:eastAsia="es-ES_tradnl"/>
        </w:rPr>
        <w:t>(Worldwide Reporting LLP)</w:t>
      </w:r>
    </w:p>
    <w:p w14:paraId="0EDF818E" w14:textId="77777777" w:rsidR="00D75D4B" w:rsidRPr="00AB7B88" w:rsidRDefault="003B3957" w:rsidP="003F2704">
      <w:pPr>
        <w:pStyle w:val="Bodytext1"/>
        <w:shd w:val="clear" w:color="auto" w:fill="auto"/>
        <w:spacing w:before="380" w:line="360" w:lineRule="auto"/>
        <w:ind w:left="522" w:firstLine="0"/>
        <w:rPr>
          <w:rStyle w:val="Bodytext"/>
          <w:color w:val="000000"/>
          <w:sz w:val="20"/>
          <w:lang w:val="it-CH" w:eastAsia="es-ES_tradnl"/>
        </w:rPr>
      </w:pPr>
      <w:r w:rsidRPr="00AB7B88">
        <w:rPr>
          <w:rStyle w:val="Bodytext"/>
          <w:color w:val="000000"/>
          <w:sz w:val="20"/>
          <w:lang w:val="it-CH" w:eastAsia="es-ES_tradnl"/>
        </w:rPr>
        <w:t>Sr. Virgilio Dante Rinaldi</w:t>
      </w:r>
    </w:p>
    <w:p w14:paraId="2F79D032" w14:textId="77777777" w:rsidR="003B3957" w:rsidRPr="00AB7B88" w:rsidRDefault="003B3957" w:rsidP="003F2704">
      <w:pPr>
        <w:pStyle w:val="Bodytext1"/>
        <w:shd w:val="clear" w:color="auto" w:fill="auto"/>
        <w:spacing w:before="0" w:line="360" w:lineRule="auto"/>
        <w:ind w:left="522" w:firstLine="0"/>
        <w:rPr>
          <w:sz w:val="20"/>
          <w:lang w:val="it-CH"/>
        </w:rPr>
      </w:pPr>
      <w:r w:rsidRPr="00AB7B88">
        <w:rPr>
          <w:rStyle w:val="BodytextItalic"/>
          <w:color w:val="000000"/>
          <w:sz w:val="20"/>
          <w:lang w:val="it-CH" w:eastAsia="es-ES_tradnl"/>
        </w:rPr>
        <w:t>(DR Esteno)</w:t>
      </w:r>
    </w:p>
    <w:p w14:paraId="6F34DD10" w14:textId="77777777" w:rsidR="003B3957" w:rsidRPr="00AB7B88" w:rsidRDefault="003B3957" w:rsidP="003F2704">
      <w:pPr>
        <w:pStyle w:val="Bodytext1"/>
        <w:shd w:val="clear" w:color="auto" w:fill="auto"/>
        <w:spacing w:before="380" w:line="360" w:lineRule="auto"/>
        <w:ind w:left="522" w:firstLine="0"/>
        <w:rPr>
          <w:color w:val="000000"/>
          <w:u w:val="single"/>
          <w:lang w:val="es-AR" w:eastAsia="es-ES_tradnl"/>
        </w:rPr>
      </w:pPr>
      <w:r w:rsidRPr="00AB7B88">
        <w:rPr>
          <w:color w:val="000000"/>
          <w:u w:val="single"/>
          <w:lang w:val="es-AR" w:eastAsia="es-ES_tradnl"/>
        </w:rPr>
        <w:t>Intérpretes</w:t>
      </w:r>
    </w:p>
    <w:p w14:paraId="5A1192EA" w14:textId="77777777" w:rsidR="00E4026B"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 Luis Eduardo Arango</w:t>
      </w:r>
    </w:p>
    <w:p w14:paraId="6F3E0E9F" w14:textId="77777777" w:rsidR="00561B1A" w:rsidRPr="00AB7B88" w:rsidRDefault="003B3957" w:rsidP="003F2704">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Judith Letendre</w:t>
      </w:r>
    </w:p>
    <w:p w14:paraId="3AC3CE04" w14:textId="77777777" w:rsidR="00561B1A" w:rsidRPr="00AB7B88" w:rsidRDefault="003B3957" w:rsidP="003F2704">
      <w:pPr>
        <w:pStyle w:val="Bodytext1"/>
        <w:shd w:val="clear" w:color="auto" w:fill="auto"/>
        <w:spacing w:before="0" w:line="360" w:lineRule="auto"/>
        <w:ind w:left="522" w:firstLine="0"/>
        <w:rPr>
          <w:rStyle w:val="Bodytext"/>
          <w:color w:val="000000"/>
          <w:sz w:val="20"/>
          <w:lang w:val="it-CH" w:eastAsia="es-ES_tradnl"/>
        </w:rPr>
      </w:pPr>
      <w:r w:rsidRPr="00AB7B88">
        <w:rPr>
          <w:rStyle w:val="Bodytext"/>
          <w:color w:val="000000"/>
          <w:sz w:val="20"/>
          <w:lang w:val="it-CH" w:eastAsia="es-ES_tradnl"/>
        </w:rPr>
        <w:t>Sra. Silvia Colla</w:t>
      </w:r>
    </w:p>
    <w:p w14:paraId="04C34ACB" w14:textId="77777777" w:rsidR="003B3957" w:rsidRPr="00AB7B88" w:rsidRDefault="003B3957" w:rsidP="003F2704">
      <w:pPr>
        <w:pStyle w:val="Bodytext1"/>
        <w:shd w:val="clear" w:color="auto" w:fill="auto"/>
        <w:spacing w:before="0" w:line="360" w:lineRule="auto"/>
        <w:ind w:left="522" w:firstLine="0"/>
        <w:rPr>
          <w:sz w:val="20"/>
          <w:lang w:val="it-CH"/>
        </w:rPr>
      </w:pPr>
      <w:r w:rsidRPr="00AB7B88">
        <w:rPr>
          <w:rStyle w:val="Bodytext"/>
          <w:color w:val="000000"/>
          <w:sz w:val="20"/>
          <w:lang w:val="it-CH" w:eastAsia="es-ES_tradnl"/>
        </w:rPr>
        <w:t>Sr. Daniel Giglio</w:t>
      </w:r>
    </w:p>
    <w:p w14:paraId="53191155" w14:textId="77777777" w:rsidR="003B3957" w:rsidRPr="00AB7B88" w:rsidRDefault="003B3957" w:rsidP="000053F7">
      <w:pPr>
        <w:pStyle w:val="Bodytext1"/>
        <w:numPr>
          <w:ilvl w:val="0"/>
          <w:numId w:val="6"/>
        </w:numPr>
        <w:shd w:val="clear" w:color="auto" w:fill="auto"/>
        <w:tabs>
          <w:tab w:val="left" w:pos="518"/>
        </w:tabs>
        <w:spacing w:before="380" w:line="360" w:lineRule="auto"/>
        <w:ind w:left="522" w:hanging="522"/>
        <w:rPr>
          <w:sz w:val="20"/>
          <w:lang w:val="es-AR"/>
        </w:rPr>
      </w:pPr>
      <w:r w:rsidRPr="00AB7B88">
        <w:rPr>
          <w:rStyle w:val="Bodytext"/>
          <w:color w:val="000000"/>
          <w:sz w:val="20"/>
          <w:lang w:val="es-AR" w:eastAsia="es-ES_tradnl"/>
        </w:rPr>
        <w:t>Durante la Sesión I, se interrogó a los testigos en el siguiente orden:</w:t>
      </w:r>
    </w:p>
    <w:p w14:paraId="03BABD94" w14:textId="77777777" w:rsidR="00B31DD2" w:rsidRPr="00AB7B88" w:rsidRDefault="003B3957" w:rsidP="002D62C9">
      <w:pPr>
        <w:widowControl w:val="0"/>
        <w:spacing w:line="360" w:lineRule="auto"/>
        <w:ind w:left="522"/>
        <w:rPr>
          <w:rStyle w:val="Bodytext"/>
          <w:rFonts w:eastAsia="Calibri"/>
          <w:color w:val="000000"/>
          <w:sz w:val="20"/>
          <w:lang w:val="es-AR" w:eastAsia="es-ES_tradnl"/>
        </w:rPr>
      </w:pPr>
      <w:r w:rsidRPr="00AB7B88">
        <w:rPr>
          <w:rStyle w:val="Bodytext"/>
          <w:rFonts w:eastAsia="Calibri"/>
          <w:color w:val="000000"/>
          <w:sz w:val="20"/>
          <w:lang w:val="es-AR" w:eastAsia="es-ES_tradnl"/>
        </w:rPr>
        <w:t>Sr. Pramod Agarwal</w:t>
      </w:r>
    </w:p>
    <w:p w14:paraId="2E07861F" w14:textId="77777777" w:rsidR="004D3BAA" w:rsidRPr="00AB7B88" w:rsidRDefault="003B3957" w:rsidP="00B31DD2">
      <w:pPr>
        <w:widowControl w:val="0"/>
        <w:spacing w:line="360" w:lineRule="auto"/>
        <w:ind w:left="522"/>
        <w:rPr>
          <w:rStyle w:val="Bodytext"/>
          <w:rFonts w:eastAsia="Calibri"/>
          <w:color w:val="000000"/>
          <w:sz w:val="20"/>
          <w:lang w:val="es-AR" w:eastAsia="es-ES_tradnl"/>
        </w:rPr>
      </w:pPr>
      <w:r w:rsidRPr="00AB7B88">
        <w:rPr>
          <w:rStyle w:val="Bodytext"/>
          <w:rFonts w:eastAsia="Calibri"/>
          <w:color w:val="000000"/>
          <w:sz w:val="20"/>
          <w:lang w:val="es-AR" w:eastAsia="es-ES_tradnl"/>
        </w:rPr>
        <w:t>Sra. Helga Chulepin</w:t>
      </w:r>
    </w:p>
    <w:p w14:paraId="71B1254E" w14:textId="77777777" w:rsidR="004D3BAA" w:rsidRPr="00AB7B88" w:rsidRDefault="00761264" w:rsidP="00B31DD2">
      <w:pPr>
        <w:widowControl w:val="0"/>
        <w:spacing w:line="360" w:lineRule="auto"/>
        <w:ind w:left="522"/>
        <w:rPr>
          <w:rStyle w:val="Bodytext"/>
          <w:rFonts w:eastAsia="Calibri"/>
          <w:color w:val="000000"/>
          <w:sz w:val="20"/>
          <w:lang w:val="es-AR" w:eastAsia="es-ES_tradnl"/>
        </w:rPr>
      </w:pPr>
      <w:r w:rsidRPr="00AB7B88">
        <w:rPr>
          <w:rStyle w:val="Bodytext"/>
          <w:rFonts w:eastAsia="Calibri"/>
          <w:color w:val="000000"/>
          <w:sz w:val="20"/>
          <w:lang w:val="es-AR" w:eastAsia="es-ES_tradnl"/>
        </w:rPr>
        <w:t>Sr.</w:t>
      </w:r>
      <w:r w:rsidR="003B3957" w:rsidRPr="00AB7B88">
        <w:rPr>
          <w:rStyle w:val="Bodytext"/>
          <w:rFonts w:eastAsia="Calibri"/>
          <w:color w:val="000000"/>
          <w:sz w:val="20"/>
          <w:lang w:val="es-AR" w:eastAsia="es-ES_tradnl"/>
        </w:rPr>
        <w:t xml:space="preserve"> Jay Shah</w:t>
      </w:r>
    </w:p>
    <w:p w14:paraId="33F11D91" w14:textId="77777777" w:rsidR="004D3BAA" w:rsidRPr="00AB7B88" w:rsidRDefault="00761264" w:rsidP="00B31DD2">
      <w:pPr>
        <w:widowControl w:val="0"/>
        <w:spacing w:line="360" w:lineRule="auto"/>
        <w:ind w:left="522"/>
        <w:rPr>
          <w:rStyle w:val="Bodytext"/>
          <w:rFonts w:eastAsia="Calibri"/>
          <w:color w:val="000000"/>
          <w:sz w:val="20"/>
          <w:lang w:val="de-DE" w:eastAsia="es-ES_tradnl"/>
        </w:rPr>
      </w:pPr>
      <w:r w:rsidRPr="00AB7B88">
        <w:rPr>
          <w:rStyle w:val="Bodytext"/>
          <w:rFonts w:eastAsia="Calibri"/>
          <w:color w:val="000000"/>
          <w:sz w:val="20"/>
          <w:lang w:val="de-DE" w:eastAsia="es-ES_tradnl"/>
        </w:rPr>
        <w:t>Sr.</w:t>
      </w:r>
      <w:r w:rsidR="003B3957" w:rsidRPr="00AB7B88">
        <w:rPr>
          <w:rStyle w:val="Bodytext"/>
          <w:rFonts w:eastAsia="Calibri"/>
          <w:color w:val="000000"/>
          <w:sz w:val="20"/>
          <w:lang w:val="de-DE" w:eastAsia="es-ES_tradnl"/>
        </w:rPr>
        <w:t xml:space="preserve"> Ramiro Rodríguez</w:t>
      </w:r>
    </w:p>
    <w:p w14:paraId="440823CF" w14:textId="77777777" w:rsidR="0037723A" w:rsidRPr="00AB7B88" w:rsidRDefault="00761264" w:rsidP="00B31DD2">
      <w:pPr>
        <w:widowControl w:val="0"/>
        <w:spacing w:line="360" w:lineRule="auto"/>
        <w:ind w:left="522"/>
        <w:rPr>
          <w:rStyle w:val="Bodytext"/>
          <w:rFonts w:eastAsia="Calibri"/>
          <w:color w:val="000000"/>
          <w:sz w:val="20"/>
          <w:lang w:val="de-DE" w:eastAsia="es-ES_tradnl"/>
        </w:rPr>
      </w:pPr>
      <w:r w:rsidRPr="00AB7B88">
        <w:rPr>
          <w:rStyle w:val="Bodytext"/>
          <w:rFonts w:eastAsia="Calibri"/>
          <w:color w:val="000000"/>
          <w:sz w:val="20"/>
          <w:lang w:val="de-DE" w:eastAsia="es-ES_tradnl"/>
        </w:rPr>
        <w:t>Sr.</w:t>
      </w:r>
      <w:r w:rsidR="003B3957" w:rsidRPr="00AB7B88">
        <w:rPr>
          <w:rStyle w:val="Bodytext"/>
          <w:rFonts w:eastAsia="Calibri"/>
          <w:color w:val="000000"/>
          <w:sz w:val="20"/>
          <w:lang w:val="de-DE" w:eastAsia="es-ES_tradnl"/>
        </w:rPr>
        <w:t xml:space="preserve"> Martín Kannengeiser</w:t>
      </w:r>
    </w:p>
    <w:p w14:paraId="075297C4" w14:textId="77777777" w:rsidR="004D3BAA" w:rsidRPr="00AB7B88" w:rsidRDefault="003B3957" w:rsidP="00B31DD2">
      <w:pPr>
        <w:widowControl w:val="0"/>
        <w:spacing w:line="360" w:lineRule="auto"/>
        <w:ind w:left="522"/>
        <w:rPr>
          <w:rStyle w:val="Bodytext"/>
          <w:rFonts w:eastAsia="Calibri"/>
          <w:color w:val="000000"/>
          <w:sz w:val="20"/>
          <w:lang w:val="it-CH" w:eastAsia="es-ES_tradnl"/>
        </w:rPr>
      </w:pPr>
      <w:r w:rsidRPr="00AB7B88">
        <w:rPr>
          <w:rStyle w:val="Bodytext"/>
          <w:rFonts w:eastAsia="Calibri"/>
          <w:color w:val="000000"/>
          <w:sz w:val="20"/>
          <w:lang w:val="it-CH" w:eastAsia="es-ES_tradnl"/>
        </w:rPr>
        <w:t>Sra. Raquel Piaggio</w:t>
      </w:r>
    </w:p>
    <w:p w14:paraId="0694EC56" w14:textId="77777777" w:rsidR="004D3BAA" w:rsidRPr="00AB7B88" w:rsidRDefault="00761264" w:rsidP="00B31DD2">
      <w:pPr>
        <w:widowControl w:val="0"/>
        <w:spacing w:line="360" w:lineRule="auto"/>
        <w:ind w:left="522"/>
        <w:rPr>
          <w:rStyle w:val="Bodytext"/>
          <w:rFonts w:eastAsia="Calibri"/>
          <w:color w:val="000000"/>
          <w:sz w:val="20"/>
          <w:lang w:val="it-CH" w:eastAsia="es-ES_tradnl"/>
        </w:rPr>
      </w:pPr>
      <w:r w:rsidRPr="00AB7B88">
        <w:rPr>
          <w:rStyle w:val="Bodytext"/>
          <w:rFonts w:eastAsia="Calibri"/>
          <w:color w:val="000000"/>
          <w:sz w:val="20"/>
          <w:lang w:val="it-CH" w:eastAsia="es-ES_tradnl"/>
        </w:rPr>
        <w:t>Sr.</w:t>
      </w:r>
      <w:r w:rsidR="003B3957" w:rsidRPr="00AB7B88">
        <w:rPr>
          <w:rStyle w:val="Bodytext"/>
          <w:rFonts w:eastAsia="Calibri"/>
          <w:color w:val="000000"/>
          <w:sz w:val="20"/>
          <w:lang w:val="it-CH" w:eastAsia="es-ES_tradnl"/>
        </w:rPr>
        <w:t xml:space="preserve"> Roberto Kreimerman</w:t>
      </w:r>
    </w:p>
    <w:p w14:paraId="1A3B4037" w14:textId="77777777" w:rsidR="003B3957" w:rsidRPr="00AB7B88" w:rsidRDefault="00761264" w:rsidP="00B31DD2">
      <w:pPr>
        <w:widowControl w:val="0"/>
        <w:spacing w:line="360" w:lineRule="auto"/>
        <w:ind w:left="522"/>
        <w:rPr>
          <w:rStyle w:val="Bodytext"/>
          <w:rFonts w:eastAsia="Calibri"/>
          <w:color w:val="000000"/>
          <w:sz w:val="20"/>
          <w:lang w:val="de-DE" w:eastAsia="es-ES_tradnl"/>
        </w:rPr>
      </w:pPr>
      <w:r w:rsidRPr="00AB7B88">
        <w:rPr>
          <w:rStyle w:val="Bodytext"/>
          <w:rFonts w:eastAsia="Calibri"/>
          <w:color w:val="000000"/>
          <w:sz w:val="20"/>
          <w:lang w:val="de-DE" w:eastAsia="es-ES_tradnl"/>
        </w:rPr>
        <w:t>Sr.</w:t>
      </w:r>
      <w:r w:rsidR="003B3957" w:rsidRPr="00AB7B88">
        <w:rPr>
          <w:rStyle w:val="Bodytext"/>
          <w:rFonts w:eastAsia="Calibri"/>
          <w:color w:val="000000"/>
          <w:sz w:val="20"/>
          <w:lang w:val="de-DE" w:eastAsia="es-ES_tradnl"/>
        </w:rPr>
        <w:t xml:space="preserve"> Andrés Masoller</w:t>
      </w:r>
    </w:p>
    <w:p w14:paraId="6E1B2E75" w14:textId="77777777" w:rsidR="004D3BAA" w:rsidRPr="00AB7B88" w:rsidRDefault="003B3957" w:rsidP="0037723A">
      <w:pPr>
        <w:widowControl w:val="0"/>
        <w:spacing w:line="360" w:lineRule="auto"/>
        <w:ind w:left="522"/>
        <w:rPr>
          <w:rStyle w:val="Bodytext"/>
          <w:rFonts w:eastAsia="Calibri"/>
          <w:color w:val="000000"/>
          <w:sz w:val="20"/>
          <w:lang w:val="de-DE" w:eastAsia="es-ES_tradnl"/>
        </w:rPr>
      </w:pPr>
      <w:r w:rsidRPr="00AB7B88">
        <w:rPr>
          <w:rStyle w:val="Bodytext"/>
          <w:rFonts w:eastAsia="Calibri"/>
          <w:color w:val="000000"/>
          <w:sz w:val="20"/>
          <w:lang w:val="de-DE" w:eastAsia="es-ES_tradnl"/>
        </w:rPr>
        <w:t>Sr. Malay Mukherjee</w:t>
      </w:r>
    </w:p>
    <w:p w14:paraId="23D22C5A" w14:textId="77777777" w:rsidR="004D3BAA" w:rsidRPr="00AB7B88" w:rsidRDefault="00761264" w:rsidP="0037723A">
      <w:pPr>
        <w:widowControl w:val="0"/>
        <w:spacing w:line="360" w:lineRule="auto"/>
        <w:ind w:left="522"/>
        <w:rPr>
          <w:rStyle w:val="Bodytext"/>
          <w:rFonts w:eastAsia="Calibri"/>
          <w:color w:val="000000"/>
          <w:sz w:val="20"/>
          <w:lang w:val="es-AR" w:eastAsia="es-ES_tradnl"/>
        </w:rPr>
      </w:pPr>
      <w:r w:rsidRPr="00AB7B88">
        <w:rPr>
          <w:rStyle w:val="Bodytext"/>
          <w:rFonts w:eastAsia="Calibri"/>
          <w:color w:val="000000"/>
          <w:sz w:val="20"/>
          <w:lang w:val="es-AR" w:eastAsia="es-ES_tradnl"/>
        </w:rPr>
        <w:t>Sr.</w:t>
      </w:r>
      <w:r w:rsidR="003B3957" w:rsidRPr="00AB7B88">
        <w:rPr>
          <w:rStyle w:val="Bodytext"/>
          <w:rFonts w:eastAsia="Calibri"/>
          <w:color w:val="000000"/>
          <w:sz w:val="20"/>
          <w:lang w:val="es-AR" w:eastAsia="es-ES_tradnl"/>
        </w:rPr>
        <w:t xml:space="preserve"> Néstor Campal</w:t>
      </w:r>
    </w:p>
    <w:p w14:paraId="50FC3742" w14:textId="77777777" w:rsidR="00433636" w:rsidRPr="00AB7B88" w:rsidRDefault="00761264" w:rsidP="0037723A">
      <w:pPr>
        <w:widowControl w:val="0"/>
        <w:spacing w:line="360" w:lineRule="auto"/>
        <w:ind w:left="522"/>
        <w:rPr>
          <w:rStyle w:val="Bodytext"/>
          <w:rFonts w:eastAsia="Calibri"/>
          <w:color w:val="000000"/>
          <w:sz w:val="20"/>
          <w:lang w:val="es-AR" w:eastAsia="es-ES_tradnl"/>
        </w:rPr>
      </w:pPr>
      <w:r w:rsidRPr="00AB7B88">
        <w:rPr>
          <w:rStyle w:val="Bodytext"/>
          <w:rFonts w:eastAsia="Calibri"/>
          <w:color w:val="000000"/>
          <w:sz w:val="20"/>
          <w:lang w:val="es-AR" w:eastAsia="es-ES_tradnl"/>
        </w:rPr>
        <w:t>Sr.</w:t>
      </w:r>
      <w:r w:rsidR="00433636" w:rsidRPr="00AB7B88">
        <w:rPr>
          <w:rStyle w:val="Bodytext"/>
          <w:rFonts w:eastAsia="Calibri"/>
          <w:color w:val="000000"/>
          <w:sz w:val="20"/>
          <w:lang w:val="es-AR" w:eastAsia="es-ES_tradnl"/>
        </w:rPr>
        <w:t xml:space="preserve"> Pablo Genta</w:t>
      </w:r>
    </w:p>
    <w:p w14:paraId="76E0D283" w14:textId="77777777" w:rsidR="004D3BAA" w:rsidRPr="00AB7B88" w:rsidRDefault="003B3957" w:rsidP="00433636">
      <w:pPr>
        <w:widowControl w:val="0"/>
        <w:spacing w:line="360" w:lineRule="auto"/>
        <w:ind w:left="522"/>
        <w:rPr>
          <w:rStyle w:val="Bodytext"/>
          <w:rFonts w:eastAsia="Calibri"/>
          <w:color w:val="000000"/>
          <w:sz w:val="20"/>
          <w:lang w:val="it-CH" w:eastAsia="es-ES_tradnl"/>
        </w:rPr>
      </w:pPr>
      <w:r w:rsidRPr="00AB7B88">
        <w:rPr>
          <w:rStyle w:val="Bodytext"/>
          <w:rFonts w:eastAsia="Calibri"/>
          <w:color w:val="000000"/>
          <w:sz w:val="20"/>
          <w:lang w:val="it-CH" w:eastAsia="es-ES_tradnl"/>
        </w:rPr>
        <w:t>Sra. Graciela Soler</w:t>
      </w:r>
    </w:p>
    <w:p w14:paraId="29F8EF3E" w14:textId="77777777" w:rsidR="00433636" w:rsidRPr="00AB7B88" w:rsidRDefault="00761264" w:rsidP="00433636">
      <w:pPr>
        <w:widowControl w:val="0"/>
        <w:spacing w:line="360" w:lineRule="auto"/>
        <w:ind w:left="522"/>
        <w:rPr>
          <w:rStyle w:val="Bodytext"/>
          <w:rFonts w:eastAsia="Calibri"/>
          <w:color w:val="000000"/>
          <w:sz w:val="20"/>
          <w:lang w:val="it-CH" w:eastAsia="es-ES_tradnl"/>
        </w:rPr>
      </w:pPr>
      <w:r w:rsidRPr="00AB7B88">
        <w:rPr>
          <w:rStyle w:val="Bodytext"/>
          <w:rFonts w:eastAsia="Calibri"/>
          <w:color w:val="000000"/>
          <w:sz w:val="20"/>
          <w:lang w:val="it-CH" w:eastAsia="es-ES_tradnl"/>
        </w:rPr>
        <w:t>Sr.</w:t>
      </w:r>
      <w:r w:rsidR="003B3957" w:rsidRPr="00AB7B88">
        <w:rPr>
          <w:rStyle w:val="Bodytext"/>
          <w:rFonts w:eastAsia="Calibri"/>
          <w:color w:val="000000"/>
          <w:sz w:val="20"/>
          <w:lang w:val="it-CH" w:eastAsia="es-ES_tradnl"/>
        </w:rPr>
        <w:t xml:space="preserve"> Eugenio</w:t>
      </w:r>
      <w:r w:rsidR="00433636" w:rsidRPr="00AB7B88">
        <w:rPr>
          <w:rStyle w:val="Bodytext"/>
          <w:rFonts w:eastAsia="Calibri"/>
          <w:color w:val="000000"/>
          <w:sz w:val="20"/>
          <w:lang w:val="it-CH" w:eastAsia="es-ES_tradnl"/>
        </w:rPr>
        <w:t xml:space="preserve"> </w:t>
      </w:r>
      <w:r w:rsidR="003B3957" w:rsidRPr="00AB7B88">
        <w:rPr>
          <w:rStyle w:val="Bodytext"/>
          <w:rFonts w:eastAsia="Calibri"/>
          <w:color w:val="000000"/>
          <w:sz w:val="20"/>
          <w:lang w:val="it-CH" w:eastAsia="es-ES_tradnl"/>
        </w:rPr>
        <w:t>Lorenzo</w:t>
      </w:r>
    </w:p>
    <w:p w14:paraId="4DFED68B" w14:textId="77777777" w:rsidR="004D3BAA" w:rsidRPr="00AB7B88" w:rsidRDefault="003B3957" w:rsidP="00433636">
      <w:pPr>
        <w:widowControl w:val="0"/>
        <w:spacing w:line="360" w:lineRule="auto"/>
        <w:ind w:left="522"/>
        <w:rPr>
          <w:rStyle w:val="Bodytext"/>
          <w:rFonts w:eastAsia="Calibri"/>
          <w:color w:val="000000"/>
          <w:sz w:val="20"/>
          <w:lang w:val="es-AR" w:eastAsia="es-ES_tradnl"/>
        </w:rPr>
      </w:pPr>
      <w:r w:rsidRPr="00AB7B88">
        <w:rPr>
          <w:rStyle w:val="Bodytext"/>
          <w:rFonts w:eastAsia="Calibri"/>
          <w:color w:val="000000"/>
          <w:sz w:val="20"/>
          <w:lang w:val="es-AR" w:eastAsia="es-ES_tradnl"/>
        </w:rPr>
        <w:t>Sra. Rachael Reynolds</w:t>
      </w:r>
    </w:p>
    <w:p w14:paraId="4479751A" w14:textId="77777777" w:rsidR="00592F97" w:rsidRPr="00AB7B88" w:rsidRDefault="00761264" w:rsidP="00433636">
      <w:pPr>
        <w:widowControl w:val="0"/>
        <w:spacing w:line="360" w:lineRule="auto"/>
        <w:ind w:left="522"/>
        <w:rPr>
          <w:rStyle w:val="Bodytext"/>
          <w:rFonts w:eastAsia="Calibri"/>
          <w:color w:val="000000"/>
          <w:sz w:val="20"/>
          <w:lang w:val="es-AR" w:eastAsia="es-ES_tradnl"/>
        </w:rPr>
      </w:pPr>
      <w:r w:rsidRPr="00AB7B88">
        <w:rPr>
          <w:rStyle w:val="Bodytext"/>
          <w:rFonts w:eastAsia="Calibri"/>
          <w:color w:val="000000"/>
          <w:sz w:val="20"/>
          <w:lang w:val="es-AR" w:eastAsia="es-ES_tradnl"/>
        </w:rPr>
        <w:t>Sr.</w:t>
      </w:r>
      <w:r w:rsidR="003B3957" w:rsidRPr="00AB7B88">
        <w:rPr>
          <w:rStyle w:val="Bodytext"/>
          <w:rFonts w:eastAsia="Calibri"/>
          <w:color w:val="000000"/>
          <w:sz w:val="20"/>
          <w:lang w:val="es-AR" w:eastAsia="es-ES_tradnl"/>
        </w:rPr>
        <w:t xml:space="preserve"> Brian Green</w:t>
      </w:r>
    </w:p>
    <w:p w14:paraId="028E41C9" w14:textId="77777777" w:rsidR="004D3BAA" w:rsidRPr="00AB7B88" w:rsidRDefault="003B3957" w:rsidP="00433636">
      <w:pPr>
        <w:widowControl w:val="0"/>
        <w:spacing w:line="360" w:lineRule="auto"/>
        <w:ind w:left="522"/>
        <w:rPr>
          <w:rStyle w:val="Bodytext"/>
          <w:rFonts w:eastAsia="Calibri"/>
          <w:color w:val="000000"/>
          <w:sz w:val="20"/>
          <w:lang w:val="es-AR" w:eastAsia="es-ES_tradnl"/>
        </w:rPr>
      </w:pPr>
      <w:r w:rsidRPr="00AB7B88">
        <w:rPr>
          <w:rStyle w:val="Bodytext"/>
          <w:rFonts w:eastAsia="Calibri"/>
          <w:color w:val="000000"/>
          <w:sz w:val="20"/>
          <w:lang w:val="es-AR" w:eastAsia="es-ES_tradnl"/>
        </w:rPr>
        <w:t>Sra. Fernanda Cardona</w:t>
      </w:r>
    </w:p>
    <w:p w14:paraId="267E7F9B" w14:textId="77777777" w:rsidR="003B3957" w:rsidRPr="00AB7B88" w:rsidRDefault="00761264" w:rsidP="00433636">
      <w:pPr>
        <w:widowControl w:val="0"/>
        <w:spacing w:line="360" w:lineRule="auto"/>
        <w:ind w:left="522"/>
        <w:rPr>
          <w:rFonts w:ascii="Times New Roman" w:hAnsi="Times New Roman"/>
          <w:lang w:val="es-AR"/>
        </w:rPr>
      </w:pPr>
      <w:r w:rsidRPr="00AB7B88">
        <w:rPr>
          <w:rStyle w:val="Bodytext"/>
          <w:rFonts w:eastAsia="Calibri"/>
          <w:color w:val="000000"/>
          <w:sz w:val="20"/>
          <w:lang w:val="es-AR" w:eastAsia="es-ES_tradnl"/>
        </w:rPr>
        <w:t>Sr.</w:t>
      </w:r>
      <w:r w:rsidR="003B3957" w:rsidRPr="00AB7B88">
        <w:rPr>
          <w:rStyle w:val="Bodytext"/>
          <w:rFonts w:eastAsia="Calibri"/>
          <w:color w:val="000000"/>
          <w:sz w:val="20"/>
          <w:lang w:val="es-AR" w:eastAsia="es-ES_tradnl"/>
        </w:rPr>
        <w:t xml:space="preserve"> Isaac Alfie</w:t>
      </w:r>
    </w:p>
    <w:p w14:paraId="5DF23101"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 Santiago Pereira Campos</w:t>
      </w:r>
    </w:p>
    <w:p w14:paraId="2F4EE016"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 Leslie Van Rompaey</w:t>
      </w:r>
    </w:p>
    <w:p w14:paraId="7FF774F8"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Prof. August Reinisch</w:t>
      </w:r>
    </w:p>
    <w:p w14:paraId="534F4B26"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Prof. Michael Reisman</w:t>
      </w:r>
    </w:p>
    <w:p w14:paraId="2402D0CA"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Dra. Alicia Castro</w:t>
      </w:r>
    </w:p>
    <w:p w14:paraId="1B10A303"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Sr. Carlos Delpiazzo</w:t>
      </w:r>
    </w:p>
    <w:p w14:paraId="684A6475"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lastRenderedPageBreak/>
        <w:t>Sr. Felipe Puig</w:t>
      </w:r>
    </w:p>
    <w:p w14:paraId="08FCC974"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Sr. Aramis Latchinian</w:t>
      </w:r>
    </w:p>
    <w:p w14:paraId="64C91EA9"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Sr. James Otto</w:t>
      </w:r>
    </w:p>
    <w:p w14:paraId="12AA2A17"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Sr. Jorge Fernández Reyes</w:t>
      </w:r>
    </w:p>
    <w:p w14:paraId="251D6F07"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 xml:space="preserve">Sr. Santiago Pereira Campos </w:t>
      </w:r>
      <w:r w:rsidRPr="00AB7B88">
        <w:rPr>
          <w:rStyle w:val="BodytextItalic"/>
          <w:color w:val="000000"/>
          <w:sz w:val="20"/>
          <w:lang w:val="es-AR" w:eastAsia="es-ES_tradnl"/>
        </w:rPr>
        <w:t>(continuación)</w:t>
      </w:r>
    </w:p>
    <w:p w14:paraId="75391BA2"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 xml:space="preserve">Sr. Augusto Durán Martínez </w:t>
      </w:r>
      <w:r w:rsidRPr="00AB7B88">
        <w:rPr>
          <w:rStyle w:val="BodytextItalic"/>
          <w:color w:val="000000"/>
          <w:sz w:val="20"/>
          <w:lang w:val="es-AR" w:eastAsia="es-ES_tradnl"/>
        </w:rPr>
        <w:t>(por video)</w:t>
      </w:r>
    </w:p>
    <w:p w14:paraId="2AE6099E" w14:textId="77777777" w:rsidR="003B3957" w:rsidRPr="00C132A4" w:rsidRDefault="003B3957" w:rsidP="00E2027E">
      <w:pPr>
        <w:pStyle w:val="Bodytext1"/>
        <w:shd w:val="clear" w:color="auto" w:fill="auto"/>
        <w:spacing w:before="0" w:after="480" w:line="360" w:lineRule="auto"/>
        <w:ind w:left="522" w:firstLine="0"/>
        <w:rPr>
          <w:sz w:val="20"/>
          <w:lang w:val="fr-FR"/>
        </w:rPr>
      </w:pPr>
      <w:r w:rsidRPr="00C132A4">
        <w:rPr>
          <w:rStyle w:val="Bodytext"/>
          <w:color w:val="000000"/>
          <w:sz w:val="20"/>
          <w:lang w:val="fr-FR" w:eastAsia="es-ES_tradnl"/>
        </w:rPr>
        <w:t>Sres. Andrés Blanco y Félix Abadi</w:t>
      </w:r>
    </w:p>
    <w:p w14:paraId="560BBE4D" w14:textId="77777777" w:rsidR="007B6B41" w:rsidRPr="00AB7B88" w:rsidRDefault="003B3957" w:rsidP="000053F7">
      <w:pPr>
        <w:pStyle w:val="Bodytext1"/>
        <w:numPr>
          <w:ilvl w:val="0"/>
          <w:numId w:val="6"/>
        </w:numPr>
        <w:shd w:val="clear" w:color="auto" w:fill="auto"/>
        <w:tabs>
          <w:tab w:val="left" w:pos="518"/>
        </w:tabs>
        <w:spacing w:before="380" w:line="360" w:lineRule="auto"/>
        <w:ind w:left="522" w:hanging="522"/>
        <w:rPr>
          <w:sz w:val="20"/>
          <w:lang w:val="es-AR"/>
        </w:rPr>
      </w:pPr>
      <w:r w:rsidRPr="00AB7B88">
        <w:rPr>
          <w:rStyle w:val="Bodytext"/>
          <w:color w:val="000000"/>
          <w:sz w:val="20"/>
          <w:lang w:val="es-AR" w:eastAsia="es-ES_tradnl"/>
        </w:rPr>
        <w:t>El 5 de febrero de 2020, el Tribunal invitó a las Partes a responder a una serie de preguntas durante los alegatos de cierre en la Audiencia del 22 de febrero de 2020.</w:t>
      </w:r>
    </w:p>
    <w:p w14:paraId="1B9069E4" w14:textId="77777777" w:rsidR="003B3957" w:rsidRPr="00AB7B88" w:rsidRDefault="003B3957" w:rsidP="000053F7">
      <w:pPr>
        <w:pStyle w:val="Bodytext1"/>
        <w:numPr>
          <w:ilvl w:val="0"/>
          <w:numId w:val="6"/>
        </w:numPr>
        <w:shd w:val="clear" w:color="auto" w:fill="auto"/>
        <w:tabs>
          <w:tab w:val="left" w:pos="518"/>
        </w:tabs>
        <w:spacing w:before="380" w:line="360" w:lineRule="auto"/>
        <w:ind w:left="522" w:hanging="522"/>
        <w:rPr>
          <w:sz w:val="20"/>
          <w:lang w:val="es-AR"/>
        </w:rPr>
      </w:pPr>
      <w:r w:rsidRPr="00AB7B88">
        <w:rPr>
          <w:rStyle w:val="Bodytext"/>
          <w:color w:val="000000"/>
          <w:sz w:val="20"/>
          <w:lang w:val="es-AR" w:eastAsia="es-ES_tradnl"/>
        </w:rPr>
        <w:t>El 10 de febrero de 2020, el Tribunal emitió un calendario actualizado de la Audiencia para la Sesión</w:t>
      </w:r>
      <w:r w:rsidR="00761264" w:rsidRPr="00AB7B88">
        <w:rPr>
          <w:rStyle w:val="Bodytext"/>
          <w:color w:val="000000"/>
          <w:sz w:val="20"/>
          <w:lang w:val="es-AR" w:eastAsia="es-ES_tradnl"/>
        </w:rPr>
        <w:t xml:space="preserve"> </w:t>
      </w:r>
      <w:r w:rsidRPr="00AB7B88">
        <w:rPr>
          <w:rStyle w:val="Bodytext"/>
          <w:color w:val="000000"/>
          <w:sz w:val="20"/>
          <w:lang w:val="es-AR" w:eastAsia="es-ES_tradnl"/>
        </w:rPr>
        <w:t>preparado sobre la base de un calendario acordado por las Partes durante la Sesión 1.</w:t>
      </w:r>
    </w:p>
    <w:p w14:paraId="0E3B021C" w14:textId="77777777" w:rsidR="003B3957" w:rsidRPr="00AB7B88" w:rsidRDefault="003B3957" w:rsidP="000053F7">
      <w:pPr>
        <w:pStyle w:val="Bodytext1"/>
        <w:numPr>
          <w:ilvl w:val="0"/>
          <w:numId w:val="6"/>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La Sesión 2 de la Audiencia tuvo lugar del 19 de febrero de 2020 al 22 de febrero de 2020 en las salas de audiencia del Centro Internacional de Arreglo de Diferencias relativas a Inversiones, ubicadas en el edificio C del Banco Mundial, situado en 1225 Connecticut Ave. N.W., Washington, D.C., Estados Unidos de América. A la Sesión 2 asistieron las siguientes personas:</w:t>
      </w:r>
    </w:p>
    <w:p w14:paraId="08CC9B15" w14:textId="77777777" w:rsidR="003B3957" w:rsidRPr="00AB7B88" w:rsidRDefault="003B3957" w:rsidP="0011374D">
      <w:pPr>
        <w:pStyle w:val="Bodytext1"/>
        <w:shd w:val="clear" w:color="auto" w:fill="auto"/>
        <w:spacing w:before="0" w:after="180" w:line="360" w:lineRule="auto"/>
        <w:ind w:left="520" w:firstLine="0"/>
        <w:rPr>
          <w:sz w:val="20"/>
        </w:rPr>
      </w:pPr>
      <w:r w:rsidRPr="00AB7B88">
        <w:rPr>
          <w:color w:val="000000"/>
          <w:sz w:val="20"/>
          <w:u w:val="single"/>
          <w:lang w:eastAsia="es-ES_tradnl"/>
        </w:rPr>
        <w:t>El Tribunal</w:t>
      </w:r>
    </w:p>
    <w:p w14:paraId="2C661CDE" w14:textId="77777777" w:rsidR="003B3957" w:rsidRPr="00AB7B88" w:rsidRDefault="003B3957" w:rsidP="00E2027E">
      <w:pPr>
        <w:pStyle w:val="Bodytext1"/>
        <w:shd w:val="clear" w:color="auto" w:fill="auto"/>
        <w:spacing w:before="0" w:line="360" w:lineRule="auto"/>
        <w:ind w:left="522" w:firstLine="0"/>
        <w:rPr>
          <w:sz w:val="20"/>
        </w:rPr>
      </w:pPr>
      <w:r w:rsidRPr="00AB7B88">
        <w:rPr>
          <w:rStyle w:val="Bodytext"/>
          <w:color w:val="000000"/>
          <w:sz w:val="20"/>
          <w:lang w:eastAsia="es-ES_tradnl"/>
        </w:rPr>
        <w:t>Dr. Andrés Rigo Sureda (árbitro presidente)</w:t>
      </w:r>
    </w:p>
    <w:p w14:paraId="646E38E1" w14:textId="77777777" w:rsidR="00AA7EDB" w:rsidRPr="00AB7B88" w:rsidRDefault="003B3957" w:rsidP="00AA7EDB">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Juez O. Thom</w:t>
      </w:r>
      <w:r w:rsidR="00AA7EDB" w:rsidRPr="00AB7B88">
        <w:rPr>
          <w:rStyle w:val="Bodytext"/>
          <w:color w:val="000000"/>
          <w:sz w:val="20"/>
          <w:lang w:val="es-AR" w:eastAsia="es-ES_tradnl"/>
        </w:rPr>
        <w:t>as Johnson</w:t>
      </w:r>
    </w:p>
    <w:p w14:paraId="7388ED79" w14:textId="77777777" w:rsidR="003B3957" w:rsidRPr="00AB7B88" w:rsidRDefault="003B3957" w:rsidP="00AA7EDB">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Profesor Pierre Mayer</w:t>
      </w:r>
    </w:p>
    <w:p w14:paraId="670B1DB6" w14:textId="77777777" w:rsidR="003B3957" w:rsidRPr="00AB7B88" w:rsidRDefault="003B3957" w:rsidP="00AA7EDB">
      <w:pPr>
        <w:pStyle w:val="Bodytext1"/>
        <w:shd w:val="clear" w:color="auto" w:fill="auto"/>
        <w:spacing w:before="380" w:line="360" w:lineRule="auto"/>
        <w:ind w:left="522" w:firstLine="0"/>
        <w:rPr>
          <w:sz w:val="20"/>
          <w:lang w:val="es-AR"/>
        </w:rPr>
      </w:pPr>
      <w:r w:rsidRPr="00AB7B88">
        <w:rPr>
          <w:color w:val="000000"/>
          <w:sz w:val="20"/>
          <w:u w:val="single"/>
          <w:lang w:val="es-AR" w:eastAsia="es-ES_tradnl"/>
        </w:rPr>
        <w:t>Los Demandantes</w:t>
      </w:r>
    </w:p>
    <w:p w14:paraId="307FB88B" w14:textId="77777777" w:rsidR="00AB78C0" w:rsidRPr="00AB7B88" w:rsidRDefault="003B3957" w:rsidP="00AB78C0">
      <w:pPr>
        <w:pStyle w:val="Bodytext1"/>
        <w:shd w:val="clear" w:color="auto" w:fill="auto"/>
        <w:spacing w:before="380" w:line="360" w:lineRule="auto"/>
        <w:ind w:left="522" w:firstLine="0"/>
        <w:rPr>
          <w:rStyle w:val="Bodytext"/>
          <w:color w:val="000000"/>
          <w:sz w:val="20"/>
          <w:lang w:val="es-AR" w:eastAsia="es-ES_tradnl"/>
        </w:rPr>
      </w:pPr>
      <w:r w:rsidRPr="00AB7B88">
        <w:rPr>
          <w:rStyle w:val="Bodytext"/>
          <w:color w:val="000000"/>
          <w:sz w:val="20"/>
          <w:lang w:val="es-AR" w:eastAsia="es-ES_tradnl"/>
        </w:rPr>
        <w:t>Sr. Prenay Agarwal</w:t>
      </w:r>
    </w:p>
    <w:p w14:paraId="2ED775C7" w14:textId="77777777" w:rsidR="003B3957" w:rsidRPr="00AB7B88" w:rsidRDefault="003B3957" w:rsidP="00AB78C0">
      <w:pPr>
        <w:pStyle w:val="Bodytext1"/>
        <w:shd w:val="clear" w:color="auto" w:fill="auto"/>
        <w:spacing w:before="0" w:line="360" w:lineRule="auto"/>
        <w:ind w:left="522" w:firstLine="0"/>
        <w:rPr>
          <w:sz w:val="20"/>
          <w:lang w:val="es-AR"/>
        </w:rPr>
      </w:pPr>
      <w:r w:rsidRPr="00AB7B88">
        <w:rPr>
          <w:rStyle w:val="BodytextItalic"/>
          <w:color w:val="000000"/>
          <w:sz w:val="20"/>
          <w:lang w:val="es-AR" w:eastAsia="es-ES_tradnl"/>
        </w:rPr>
        <w:t>(Demandante)</w:t>
      </w:r>
    </w:p>
    <w:p w14:paraId="1ACE1F7F" w14:textId="77777777" w:rsidR="00AB78C0" w:rsidRPr="00AB7B88" w:rsidRDefault="003B3957" w:rsidP="00AB78C0">
      <w:pPr>
        <w:widowControl w:val="0"/>
        <w:spacing w:before="380" w:line="360" w:lineRule="auto"/>
        <w:ind w:left="522"/>
        <w:rPr>
          <w:rStyle w:val="Bodytext5NotItalic"/>
          <w:rFonts w:ascii="Times New Roman" w:eastAsia="Arial Unicode MS" w:hAnsi="Times New Roman"/>
          <w:iCs/>
          <w:sz w:val="20"/>
          <w:lang w:val="es-AR" w:eastAsia="es-ES_tradnl"/>
        </w:rPr>
      </w:pPr>
      <w:r w:rsidRPr="00AB7B88">
        <w:rPr>
          <w:rStyle w:val="Bodytext5NotItalic"/>
          <w:rFonts w:ascii="Times New Roman" w:eastAsia="Arial Unicode MS" w:hAnsi="Times New Roman"/>
          <w:iCs/>
          <w:sz w:val="20"/>
          <w:lang w:val="es-AR" w:eastAsia="es-ES_tradnl"/>
        </w:rPr>
        <w:t>Sr. Pramod Agarwal</w:t>
      </w:r>
    </w:p>
    <w:p w14:paraId="709B1A8F" w14:textId="77777777" w:rsidR="003B3957" w:rsidRPr="00AB7B88" w:rsidRDefault="003B3957" w:rsidP="00AB78C0">
      <w:pPr>
        <w:widowControl w:val="0"/>
        <w:spacing w:line="360" w:lineRule="auto"/>
        <w:ind w:left="522"/>
        <w:rPr>
          <w:rStyle w:val="Bodytext5"/>
          <w:rFonts w:eastAsia="Calibri"/>
          <w:i/>
          <w:iCs/>
          <w:color w:val="000000"/>
          <w:sz w:val="20"/>
          <w:lang w:val="es-AR" w:eastAsia="es-ES_tradnl"/>
        </w:rPr>
      </w:pPr>
      <w:r w:rsidRPr="00AB7B88">
        <w:rPr>
          <w:rStyle w:val="Bodytext5"/>
          <w:rFonts w:eastAsia="Calibri"/>
          <w:i/>
          <w:iCs/>
          <w:color w:val="000000"/>
          <w:sz w:val="20"/>
          <w:lang w:val="es-AR" w:eastAsia="es-ES_tradnl"/>
        </w:rPr>
        <w:t>(Representante de Parte y testigo)</w:t>
      </w:r>
    </w:p>
    <w:p w14:paraId="0956CE79" w14:textId="77777777" w:rsidR="003B3957" w:rsidRPr="00AB7B88" w:rsidRDefault="003B3957" w:rsidP="009073D0">
      <w:pPr>
        <w:pStyle w:val="Bodytext1"/>
        <w:shd w:val="clear" w:color="auto" w:fill="auto"/>
        <w:spacing w:before="380" w:line="360" w:lineRule="auto"/>
        <w:ind w:left="522" w:firstLine="0"/>
        <w:rPr>
          <w:sz w:val="20"/>
          <w:lang w:val="de-DE"/>
        </w:rPr>
      </w:pPr>
      <w:r w:rsidRPr="00AB7B88">
        <w:rPr>
          <w:rStyle w:val="Bodytext"/>
          <w:color w:val="000000"/>
          <w:sz w:val="20"/>
          <w:lang w:val="de-DE" w:eastAsia="es-ES_tradnl"/>
        </w:rPr>
        <w:t>Sr. Kenneth R. Fleuriet</w:t>
      </w:r>
    </w:p>
    <w:p w14:paraId="623BA86F"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Sr. Reginald R. Smith</w:t>
      </w:r>
    </w:p>
    <w:p w14:paraId="25B9982C"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Sr. Viren Mascarenhas</w:t>
      </w:r>
    </w:p>
    <w:p w14:paraId="5C0F8E66"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Sr. Henry Burnett</w:t>
      </w:r>
    </w:p>
    <w:p w14:paraId="5BD6C4A8"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lastRenderedPageBreak/>
        <w:t>Sr. Craig Miles</w:t>
      </w:r>
    </w:p>
    <w:p w14:paraId="5943468F"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Sr. Charles B. Rosenberg</w:t>
      </w:r>
    </w:p>
    <w:p w14:paraId="04F6BA83"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 Femando Rodríguez-Cortina</w:t>
      </w:r>
    </w:p>
    <w:p w14:paraId="085DEFE9"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 Eduardo Bruera</w:t>
      </w:r>
    </w:p>
    <w:p w14:paraId="16C97997"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 Enrique Molina</w:t>
      </w:r>
    </w:p>
    <w:p w14:paraId="4A4A5552"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 Arturo Oropeza Casas</w:t>
      </w:r>
    </w:p>
    <w:p w14:paraId="20B7FEDC"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Sra. Verónica García</w:t>
      </w:r>
    </w:p>
    <w:p w14:paraId="4DB9101E"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Sra. Zhennia Silverman</w:t>
      </w:r>
    </w:p>
    <w:p w14:paraId="4FAC32B4" w14:textId="77777777" w:rsidR="003B3957" w:rsidRPr="00AB7B88" w:rsidRDefault="003B3957" w:rsidP="00E2027E">
      <w:pPr>
        <w:pStyle w:val="Bodytext51"/>
        <w:shd w:val="clear" w:color="auto" w:fill="auto"/>
        <w:spacing w:before="0" w:after="0" w:line="360" w:lineRule="auto"/>
        <w:ind w:left="522" w:firstLine="0"/>
        <w:rPr>
          <w:sz w:val="20"/>
          <w:lang w:val="es-AR"/>
        </w:rPr>
      </w:pPr>
      <w:r w:rsidRPr="00AB7B88">
        <w:rPr>
          <w:rStyle w:val="Bodytext5"/>
          <w:i/>
          <w:iCs/>
          <w:color w:val="000000"/>
          <w:sz w:val="20"/>
          <w:lang w:val="es-AR" w:eastAsia="es-ES_tradnl"/>
        </w:rPr>
        <w:t>(King &amp; Spalding LLP)</w:t>
      </w:r>
    </w:p>
    <w:p w14:paraId="1C21FB22" w14:textId="77777777" w:rsidR="004067A6" w:rsidRPr="00AB7B88" w:rsidRDefault="003B3957" w:rsidP="004067A6">
      <w:pPr>
        <w:pStyle w:val="Bodytext1"/>
        <w:shd w:val="clear" w:color="auto" w:fill="auto"/>
        <w:spacing w:before="380" w:line="360" w:lineRule="auto"/>
        <w:ind w:left="522" w:firstLine="0"/>
        <w:rPr>
          <w:rStyle w:val="Bodytext"/>
          <w:color w:val="000000"/>
          <w:sz w:val="20"/>
          <w:lang w:val="es-AR" w:eastAsia="es-ES_tradnl"/>
        </w:rPr>
      </w:pPr>
      <w:r w:rsidRPr="00AB7B88">
        <w:rPr>
          <w:rStyle w:val="Bodytext"/>
          <w:color w:val="000000"/>
          <w:sz w:val="20"/>
          <w:lang w:val="es-AR" w:eastAsia="es-ES_tradnl"/>
        </w:rPr>
        <w:t>Sra. Sandra González</w:t>
      </w:r>
    </w:p>
    <w:p w14:paraId="5EAC15BA" w14:textId="77777777" w:rsidR="004067A6" w:rsidRPr="00AB7B88" w:rsidRDefault="003B3957" w:rsidP="00E2027E">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Sra. Soledad Díaz</w:t>
      </w:r>
    </w:p>
    <w:p w14:paraId="0ACA5A43"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w:t>
      </w:r>
      <w:r w:rsidRPr="00AB7B88">
        <w:rPr>
          <w:rStyle w:val="BodytextItalic"/>
          <w:color w:val="000000"/>
          <w:sz w:val="20"/>
          <w:lang w:val="es-AR" w:eastAsia="es-ES_tradnl"/>
        </w:rPr>
        <w:t>Ferrere</w:t>
      </w:r>
      <w:r w:rsidRPr="00AB7B88">
        <w:rPr>
          <w:rStyle w:val="Bodytext"/>
          <w:color w:val="000000"/>
          <w:sz w:val="20"/>
          <w:lang w:val="es-AR" w:eastAsia="es-ES_tradnl"/>
        </w:rPr>
        <w:t>)</w:t>
      </w:r>
    </w:p>
    <w:p w14:paraId="0FF58014" w14:textId="77777777" w:rsidR="002215D4" w:rsidRPr="00AB7B88" w:rsidRDefault="003B3957" w:rsidP="004067A6">
      <w:pPr>
        <w:pStyle w:val="Bodytext51"/>
        <w:shd w:val="clear" w:color="auto" w:fill="auto"/>
        <w:spacing w:before="380" w:after="0" w:line="360" w:lineRule="auto"/>
        <w:ind w:left="522" w:firstLine="0"/>
        <w:rPr>
          <w:rStyle w:val="Bodytext5NotItalic"/>
          <w:rFonts w:ascii="Times New Roman" w:eastAsia="Arial Unicode MS" w:hAnsi="Times New Roman"/>
          <w:iCs/>
          <w:sz w:val="20"/>
          <w:lang w:val="es-AR" w:eastAsia="es-ES_tradnl"/>
        </w:rPr>
      </w:pPr>
      <w:r w:rsidRPr="00AB7B88">
        <w:rPr>
          <w:rStyle w:val="Bodytext5NotItalic"/>
          <w:rFonts w:ascii="Times New Roman" w:eastAsia="Arial Unicode MS" w:hAnsi="Times New Roman"/>
          <w:iCs/>
          <w:sz w:val="20"/>
          <w:lang w:val="es-AR" w:eastAsia="es-ES_tradnl"/>
        </w:rPr>
        <w:t>Sr. James Haas</w:t>
      </w:r>
    </w:p>
    <w:p w14:paraId="583F3A88" w14:textId="77777777" w:rsidR="003B3957" w:rsidRPr="00AB7B88" w:rsidRDefault="003B3957" w:rsidP="002215D4">
      <w:pPr>
        <w:pStyle w:val="Bodytext51"/>
        <w:shd w:val="clear" w:color="auto" w:fill="auto"/>
        <w:spacing w:before="0" w:after="0" w:line="360" w:lineRule="auto"/>
        <w:ind w:left="522" w:firstLine="0"/>
        <w:rPr>
          <w:sz w:val="20"/>
          <w:lang w:val="es-AR"/>
        </w:rPr>
      </w:pPr>
      <w:r w:rsidRPr="00AB7B88">
        <w:rPr>
          <w:rStyle w:val="Bodytext5"/>
          <w:i/>
          <w:iCs/>
          <w:color w:val="000000"/>
          <w:sz w:val="20"/>
          <w:lang w:val="es-AR" w:eastAsia="es-ES_tradnl"/>
        </w:rPr>
        <w:t>(Immersion Legal)</w:t>
      </w:r>
    </w:p>
    <w:p w14:paraId="0CB56740" w14:textId="77777777" w:rsidR="00A443DD" w:rsidRPr="00AB7B88" w:rsidRDefault="003B3957" w:rsidP="00790042">
      <w:pPr>
        <w:pStyle w:val="Bodytext1"/>
        <w:shd w:val="clear" w:color="auto" w:fill="auto"/>
        <w:spacing w:before="380" w:line="360" w:lineRule="auto"/>
        <w:ind w:left="522" w:firstLine="0"/>
        <w:rPr>
          <w:rStyle w:val="Bodytext"/>
          <w:color w:val="000000"/>
          <w:sz w:val="20"/>
          <w:lang w:val="es-AR" w:eastAsia="es-ES_tradnl"/>
        </w:rPr>
      </w:pPr>
      <w:r w:rsidRPr="00AB7B88">
        <w:rPr>
          <w:rStyle w:val="Bodytext"/>
          <w:color w:val="000000"/>
          <w:sz w:val="20"/>
          <w:lang w:val="es-AR" w:eastAsia="es-ES_tradnl"/>
        </w:rPr>
        <w:t>Sr. Jay S</w:t>
      </w:r>
      <w:r w:rsidR="00A443DD" w:rsidRPr="00AB7B88">
        <w:rPr>
          <w:rStyle w:val="Bodytext"/>
          <w:color w:val="000000"/>
          <w:sz w:val="20"/>
          <w:lang w:val="es-AR" w:eastAsia="es-ES_tradnl"/>
        </w:rPr>
        <w:t>hah</w:t>
      </w:r>
    </w:p>
    <w:p w14:paraId="2646AEAF" w14:textId="77777777" w:rsidR="003B3957" w:rsidRPr="00AB7B88" w:rsidRDefault="003B3957" w:rsidP="00A443DD">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w:t>
      </w:r>
      <w:r w:rsidRPr="00AB7B88">
        <w:rPr>
          <w:rStyle w:val="BodytextItalic"/>
          <w:color w:val="000000"/>
          <w:sz w:val="20"/>
          <w:lang w:val="es-AR" w:eastAsia="es-ES_tradnl"/>
        </w:rPr>
        <w:t>Testigo</w:t>
      </w:r>
      <w:r w:rsidRPr="00AB7B88">
        <w:rPr>
          <w:rStyle w:val="Bodytext"/>
          <w:color w:val="000000"/>
          <w:sz w:val="20"/>
          <w:lang w:val="es-AR" w:eastAsia="es-ES_tradnl"/>
        </w:rPr>
        <w:t>)</w:t>
      </w:r>
    </w:p>
    <w:p w14:paraId="00A83E67" w14:textId="77777777" w:rsidR="006765FB" w:rsidRPr="00AB7B88" w:rsidRDefault="003B3957" w:rsidP="00325C9E">
      <w:pPr>
        <w:pStyle w:val="Bodytext1"/>
        <w:shd w:val="clear" w:color="auto" w:fill="auto"/>
        <w:spacing w:before="380" w:line="360" w:lineRule="auto"/>
        <w:ind w:left="522" w:firstLine="0"/>
        <w:rPr>
          <w:rStyle w:val="Bodytext"/>
          <w:color w:val="000000"/>
          <w:sz w:val="20"/>
          <w:lang w:val="es-AR" w:eastAsia="es-ES_tradnl"/>
        </w:rPr>
      </w:pPr>
      <w:r w:rsidRPr="00AB7B88">
        <w:rPr>
          <w:rStyle w:val="Bodytext"/>
          <w:color w:val="000000"/>
          <w:sz w:val="20"/>
          <w:lang w:val="es-AR" w:eastAsia="es-ES_tradnl"/>
        </w:rPr>
        <w:t>Sr. Manuel Abdala</w:t>
      </w:r>
    </w:p>
    <w:p w14:paraId="516EAC31" w14:textId="77777777" w:rsidR="006765FB" w:rsidRPr="00AB7B88" w:rsidRDefault="00761264" w:rsidP="006765FB">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t>Sr.</w:t>
      </w:r>
      <w:r w:rsidR="003B3957" w:rsidRPr="00AB7B88">
        <w:rPr>
          <w:rStyle w:val="Bodytext"/>
          <w:color w:val="000000"/>
          <w:sz w:val="20"/>
          <w:lang w:val="es-AR" w:eastAsia="es-ES_tradnl"/>
        </w:rPr>
        <w:t xml:space="preserve"> Pablo Zadicoff</w:t>
      </w:r>
    </w:p>
    <w:p w14:paraId="1DD0A52D" w14:textId="77777777" w:rsidR="006765FB" w:rsidRPr="00AB7B88" w:rsidRDefault="00761264" w:rsidP="006765FB">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w:t>
      </w:r>
      <w:r w:rsidR="003B3957" w:rsidRPr="00AB7B88">
        <w:rPr>
          <w:rStyle w:val="Bodytext"/>
          <w:color w:val="000000"/>
          <w:sz w:val="20"/>
          <w:lang w:val="de-DE" w:eastAsia="es-ES_tradnl"/>
        </w:rPr>
        <w:t xml:space="preserve"> Nicholas Dayton</w:t>
      </w:r>
    </w:p>
    <w:p w14:paraId="685D7853" w14:textId="77777777" w:rsidR="006765FB" w:rsidRPr="00AB7B88" w:rsidRDefault="00761264" w:rsidP="006765FB">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w:t>
      </w:r>
      <w:r w:rsidR="003B3957" w:rsidRPr="00AB7B88">
        <w:rPr>
          <w:rStyle w:val="Bodytext"/>
          <w:color w:val="000000"/>
          <w:sz w:val="20"/>
          <w:lang w:val="de-DE" w:eastAsia="es-ES_tradnl"/>
        </w:rPr>
        <w:t xml:space="preserve"> Carlos Matheus</w:t>
      </w:r>
    </w:p>
    <w:p w14:paraId="64DE0535" w14:textId="77777777" w:rsidR="006765FB" w:rsidRPr="00AB7B88" w:rsidRDefault="00761264" w:rsidP="006765FB">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w:t>
      </w:r>
      <w:r w:rsidR="003B3957" w:rsidRPr="00AB7B88">
        <w:rPr>
          <w:rStyle w:val="Bodytext"/>
          <w:color w:val="000000"/>
          <w:sz w:val="20"/>
          <w:lang w:val="de-DE" w:eastAsia="es-ES_tradnl"/>
        </w:rPr>
        <w:t xml:space="preserve"> Graham Clow</w:t>
      </w:r>
    </w:p>
    <w:p w14:paraId="347AA22A" w14:textId="77777777" w:rsidR="001E798E" w:rsidRPr="00AB7B88" w:rsidRDefault="00761264" w:rsidP="006765FB">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w:t>
      </w:r>
      <w:r w:rsidR="001E798E" w:rsidRPr="00AB7B88">
        <w:rPr>
          <w:rStyle w:val="Bodytext"/>
          <w:color w:val="000000"/>
          <w:sz w:val="20"/>
          <w:lang w:val="de-DE" w:eastAsia="es-ES_tradnl"/>
        </w:rPr>
        <w:t xml:space="preserve"> Rick Lambert</w:t>
      </w:r>
    </w:p>
    <w:p w14:paraId="5FABEBEA" w14:textId="77777777" w:rsidR="006765FB" w:rsidRPr="00AB7B88" w:rsidRDefault="003B3957" w:rsidP="001E798E">
      <w:pPr>
        <w:pStyle w:val="Bodytext1"/>
        <w:shd w:val="clear" w:color="auto" w:fill="auto"/>
        <w:spacing w:before="0" w:line="360" w:lineRule="auto"/>
        <w:ind w:left="522" w:firstLine="0"/>
        <w:rPr>
          <w:rStyle w:val="Bodytext"/>
          <w:color w:val="000000"/>
          <w:sz w:val="20"/>
          <w:lang w:val="de-DE" w:eastAsia="es-ES_tradnl"/>
        </w:rPr>
      </w:pPr>
      <w:r w:rsidRPr="00AB7B88">
        <w:rPr>
          <w:rStyle w:val="Bodytext"/>
          <w:color w:val="000000"/>
          <w:sz w:val="20"/>
          <w:lang w:val="de-DE" w:eastAsia="es-ES_tradnl"/>
        </w:rPr>
        <w:t>Sra. Brenna Scholey</w:t>
      </w:r>
    </w:p>
    <w:p w14:paraId="618654DC" w14:textId="77777777" w:rsidR="001E798E" w:rsidRPr="00AB7B88" w:rsidRDefault="00761264" w:rsidP="001E798E">
      <w:pPr>
        <w:pStyle w:val="Bodytext1"/>
        <w:shd w:val="clear" w:color="auto" w:fill="auto"/>
        <w:spacing w:before="0" w:line="360" w:lineRule="auto"/>
        <w:ind w:left="522" w:firstLine="0"/>
        <w:rPr>
          <w:rStyle w:val="Bodytext"/>
          <w:color w:val="000000"/>
          <w:sz w:val="20"/>
          <w:lang w:val="en-IN" w:eastAsia="es-ES_tradnl"/>
        </w:rPr>
      </w:pPr>
      <w:r w:rsidRPr="00AB7B88">
        <w:rPr>
          <w:rStyle w:val="Bodytext"/>
          <w:color w:val="000000"/>
          <w:sz w:val="20"/>
          <w:lang w:val="en-IN" w:eastAsia="es-ES_tradnl"/>
        </w:rPr>
        <w:t>Sr.</w:t>
      </w:r>
      <w:r w:rsidR="003B3957" w:rsidRPr="00AB7B88">
        <w:rPr>
          <w:rStyle w:val="Bodytext"/>
          <w:color w:val="000000"/>
          <w:sz w:val="20"/>
          <w:lang w:val="en-IN" w:eastAsia="es-ES_tradnl"/>
        </w:rPr>
        <w:t xml:space="preserve"> Rodney G. Beddows</w:t>
      </w:r>
    </w:p>
    <w:p w14:paraId="7972687D" w14:textId="77777777" w:rsidR="003B3957" w:rsidRPr="00C132A4" w:rsidRDefault="003B3957" w:rsidP="001E798E">
      <w:pPr>
        <w:pStyle w:val="Bodytext1"/>
        <w:shd w:val="clear" w:color="auto" w:fill="auto"/>
        <w:spacing w:before="0" w:line="360" w:lineRule="auto"/>
        <w:ind w:left="522" w:firstLine="0"/>
        <w:rPr>
          <w:sz w:val="20"/>
          <w:lang w:val="fr-FR"/>
        </w:rPr>
      </w:pPr>
      <w:r w:rsidRPr="00C132A4">
        <w:rPr>
          <w:rStyle w:val="Bodytext"/>
          <w:color w:val="000000"/>
          <w:sz w:val="20"/>
          <w:lang w:val="fr-FR" w:eastAsia="es-ES_tradnl"/>
        </w:rPr>
        <w:t>(</w:t>
      </w:r>
      <w:r w:rsidRPr="00C132A4">
        <w:rPr>
          <w:rStyle w:val="BodytextItalic"/>
          <w:color w:val="000000"/>
          <w:sz w:val="20"/>
          <w:lang w:val="fr-FR" w:eastAsia="es-ES_tradnl"/>
        </w:rPr>
        <w:t>Peritos</w:t>
      </w:r>
      <w:r w:rsidRPr="00C132A4">
        <w:rPr>
          <w:rStyle w:val="Bodytext"/>
          <w:color w:val="000000"/>
          <w:sz w:val="20"/>
          <w:lang w:val="fr-FR" w:eastAsia="es-ES_tradnl"/>
        </w:rPr>
        <w:t>)</w:t>
      </w:r>
    </w:p>
    <w:p w14:paraId="351F8B2E" w14:textId="77777777" w:rsidR="003B3957" w:rsidRPr="00AB7B88" w:rsidRDefault="003B3957" w:rsidP="000D78E1">
      <w:pPr>
        <w:pStyle w:val="Bodytext1"/>
        <w:shd w:val="clear" w:color="auto" w:fill="auto"/>
        <w:spacing w:before="380" w:line="360" w:lineRule="auto"/>
        <w:ind w:left="522" w:firstLine="0"/>
        <w:rPr>
          <w:sz w:val="20"/>
          <w:lang w:val="es-AR"/>
        </w:rPr>
      </w:pPr>
      <w:r w:rsidRPr="00AB7B88">
        <w:rPr>
          <w:color w:val="000000"/>
          <w:sz w:val="20"/>
          <w:u w:val="single"/>
          <w:lang w:val="es-AR" w:eastAsia="es-ES_tradnl"/>
        </w:rPr>
        <w:t>La Demandada</w:t>
      </w:r>
    </w:p>
    <w:p w14:paraId="162B42A6" w14:textId="77777777" w:rsidR="003B3957" w:rsidRPr="00AB7B88" w:rsidRDefault="003B3957" w:rsidP="000D78E1">
      <w:pPr>
        <w:pStyle w:val="Bodytext1"/>
        <w:shd w:val="clear" w:color="auto" w:fill="auto"/>
        <w:spacing w:before="380" w:line="360" w:lineRule="auto"/>
        <w:ind w:left="522" w:firstLine="0"/>
        <w:rPr>
          <w:sz w:val="20"/>
          <w:lang w:val="es-AR"/>
        </w:rPr>
      </w:pPr>
      <w:r w:rsidRPr="00AB7B88">
        <w:rPr>
          <w:rStyle w:val="Bodytext"/>
          <w:color w:val="000000"/>
          <w:sz w:val="20"/>
          <w:lang w:val="es-AR" w:eastAsia="es-ES_tradnl"/>
        </w:rPr>
        <w:t>Sr. Miguel Ángel Toma</w:t>
      </w:r>
    </w:p>
    <w:p w14:paraId="14A8931A" w14:textId="77777777" w:rsidR="003B3957" w:rsidRPr="00AB7B88" w:rsidRDefault="003B3957" w:rsidP="00E2027E">
      <w:pPr>
        <w:pStyle w:val="Bodytext1"/>
        <w:shd w:val="clear" w:color="auto" w:fill="auto"/>
        <w:spacing w:before="0" w:line="360" w:lineRule="auto"/>
        <w:ind w:left="522" w:firstLine="0"/>
        <w:rPr>
          <w:sz w:val="20"/>
          <w:lang w:val="it-CH"/>
        </w:rPr>
      </w:pPr>
      <w:r w:rsidRPr="00AB7B88">
        <w:rPr>
          <w:rStyle w:val="Bodytext"/>
          <w:color w:val="000000"/>
          <w:sz w:val="20"/>
          <w:lang w:val="it-CH" w:eastAsia="es-ES_tradnl"/>
        </w:rPr>
        <w:t>Sra. Sara Ilha</w:t>
      </w:r>
    </w:p>
    <w:p w14:paraId="22201A26" w14:textId="77777777" w:rsidR="003B3957" w:rsidRPr="00AB7B88" w:rsidRDefault="003B3957" w:rsidP="00E2027E">
      <w:pPr>
        <w:pStyle w:val="Bodytext1"/>
        <w:shd w:val="clear" w:color="auto" w:fill="auto"/>
        <w:spacing w:before="0" w:line="360" w:lineRule="auto"/>
        <w:ind w:left="522" w:firstLine="0"/>
        <w:rPr>
          <w:sz w:val="20"/>
          <w:lang w:val="it-CH"/>
        </w:rPr>
      </w:pPr>
      <w:r w:rsidRPr="00AB7B88">
        <w:rPr>
          <w:rStyle w:val="Bodytext"/>
          <w:color w:val="000000"/>
          <w:sz w:val="20"/>
          <w:lang w:val="it-CH" w:eastAsia="es-ES_tradnl"/>
        </w:rPr>
        <w:t>Sra. Antonella Intrioni</w:t>
      </w:r>
    </w:p>
    <w:p w14:paraId="4497E524" w14:textId="77777777" w:rsidR="003B3957" w:rsidRPr="00AB7B88" w:rsidRDefault="003B3957" w:rsidP="00E2027E">
      <w:pPr>
        <w:pStyle w:val="Bodytext1"/>
        <w:shd w:val="clear" w:color="auto" w:fill="auto"/>
        <w:spacing w:before="0" w:line="360" w:lineRule="auto"/>
        <w:ind w:left="522" w:firstLine="0"/>
        <w:rPr>
          <w:sz w:val="20"/>
          <w:lang w:val="it-CH"/>
        </w:rPr>
      </w:pPr>
      <w:r w:rsidRPr="00AB7B88">
        <w:rPr>
          <w:rStyle w:val="Bodytext"/>
          <w:color w:val="000000"/>
          <w:sz w:val="20"/>
          <w:lang w:val="it-CH" w:eastAsia="es-ES_tradnl"/>
        </w:rPr>
        <w:t>Sra. Giuliana Pérez Emb. Carlos Gianelli</w:t>
      </w:r>
    </w:p>
    <w:p w14:paraId="123E7EE8" w14:textId="77777777" w:rsidR="003B3957" w:rsidRPr="00AB7B88" w:rsidRDefault="003B3957" w:rsidP="00E2027E">
      <w:pPr>
        <w:pStyle w:val="Bodytext51"/>
        <w:shd w:val="clear" w:color="auto" w:fill="auto"/>
        <w:spacing w:before="0" w:after="0" w:line="360" w:lineRule="auto"/>
        <w:ind w:left="522" w:firstLine="0"/>
        <w:rPr>
          <w:sz w:val="20"/>
          <w:lang w:val="es-AR"/>
        </w:rPr>
      </w:pPr>
      <w:r w:rsidRPr="00AB7B88">
        <w:rPr>
          <w:rStyle w:val="Bodytext5"/>
          <w:i/>
          <w:iCs/>
          <w:color w:val="000000"/>
          <w:sz w:val="20"/>
          <w:lang w:val="es-AR" w:eastAsia="es-ES_tradnl"/>
        </w:rPr>
        <w:lastRenderedPageBreak/>
        <w:t>(Representantes del Estado</w:t>
      </w:r>
      <w:r w:rsidRPr="00AB7B88">
        <w:rPr>
          <w:rStyle w:val="Bodytext5NotItalic"/>
          <w:rFonts w:ascii="Times New Roman" w:eastAsia="Arial Unicode MS" w:hAnsi="Times New Roman"/>
          <w:i/>
          <w:iCs/>
          <w:sz w:val="20"/>
          <w:lang w:val="es-AR" w:eastAsia="es-ES_tradnl"/>
        </w:rPr>
        <w:t>)</w:t>
      </w:r>
    </w:p>
    <w:p w14:paraId="0297422F" w14:textId="77777777" w:rsidR="003B3957" w:rsidRPr="00AB7B88" w:rsidRDefault="003B3957" w:rsidP="00C72964">
      <w:pPr>
        <w:pStyle w:val="Bodytext1"/>
        <w:shd w:val="clear" w:color="auto" w:fill="auto"/>
        <w:spacing w:before="380" w:line="360" w:lineRule="auto"/>
        <w:ind w:left="522" w:firstLine="0"/>
        <w:rPr>
          <w:sz w:val="20"/>
          <w:lang w:val="es-AR"/>
        </w:rPr>
      </w:pPr>
      <w:r w:rsidRPr="00AB7B88">
        <w:rPr>
          <w:rStyle w:val="Bodytext"/>
          <w:color w:val="000000"/>
          <w:sz w:val="20"/>
          <w:lang w:val="es-AR" w:eastAsia="es-ES_tradnl"/>
        </w:rPr>
        <w:t>Sr. Paul Reichler</w:t>
      </w:r>
    </w:p>
    <w:p w14:paraId="7FD2A584"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Sra. Clara Brillembourg</w:t>
      </w:r>
    </w:p>
    <w:p w14:paraId="4F24ABBF"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Sra. Tafadzwa Pasipanodya</w:t>
      </w:r>
    </w:p>
    <w:p w14:paraId="4CDD936E"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 Derek Smith</w:t>
      </w:r>
    </w:p>
    <w:p w14:paraId="6B6DC304"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Sra. Christina Beharry</w:t>
      </w:r>
    </w:p>
    <w:p w14:paraId="6CDF6B68"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 Yuri Parkhomenko</w:t>
      </w:r>
    </w:p>
    <w:p w14:paraId="522877D4" w14:textId="77777777" w:rsidR="003B3957" w:rsidRPr="00AB7B88" w:rsidRDefault="003B3957" w:rsidP="00E2027E">
      <w:pPr>
        <w:widowControl w:val="0"/>
        <w:spacing w:line="360" w:lineRule="auto"/>
        <w:ind w:left="522"/>
        <w:rPr>
          <w:rStyle w:val="Bodytext"/>
          <w:rFonts w:eastAsia="Calibri"/>
          <w:color w:val="000000"/>
          <w:sz w:val="20"/>
          <w:lang w:val="es-AR" w:eastAsia="es-ES_tradnl"/>
        </w:rPr>
      </w:pPr>
      <w:r w:rsidRPr="00AB7B88">
        <w:rPr>
          <w:rStyle w:val="Bodytext"/>
          <w:rFonts w:eastAsia="Calibri"/>
          <w:color w:val="000000"/>
          <w:sz w:val="20"/>
          <w:lang w:val="es-AR" w:eastAsia="es-ES_tradnl"/>
        </w:rPr>
        <w:t>Sr. Diego Cadena</w:t>
      </w:r>
    </w:p>
    <w:p w14:paraId="7589F460"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 Ofilio Mayorga</w:t>
      </w:r>
    </w:p>
    <w:p w14:paraId="48710A73"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Sra. Madeleine Rodríguez</w:t>
      </w:r>
    </w:p>
    <w:p w14:paraId="33AAB61E"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Sr. Joseph Klingler</w:t>
      </w:r>
    </w:p>
    <w:p w14:paraId="37197CA8"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Sra. Alejandra Torres Camprubí</w:t>
      </w:r>
    </w:p>
    <w:p w14:paraId="67D0181D"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Sra. Elisa Méndez Bráutigam</w:t>
      </w:r>
    </w:p>
    <w:p w14:paraId="3539FDA2"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Sra. Henrika Missick de López</w:t>
      </w:r>
    </w:p>
    <w:p w14:paraId="0CC3F550"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Sra. Nanami Hirata</w:t>
      </w:r>
    </w:p>
    <w:p w14:paraId="54A6C026"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 Oscar Norsworthy</w:t>
      </w:r>
    </w:p>
    <w:p w14:paraId="1C265397"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Sra. Génesis Mercado</w:t>
      </w:r>
    </w:p>
    <w:p w14:paraId="05617CE9"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 David Bernier</w:t>
      </w:r>
    </w:p>
    <w:p w14:paraId="08019AD7"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Sra. Nancy López</w:t>
      </w:r>
    </w:p>
    <w:p w14:paraId="409DD351"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Sra. Carmen de Jesús</w:t>
      </w:r>
    </w:p>
    <w:p w14:paraId="01C0A086"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Sr. Peter Hakim</w:t>
      </w:r>
    </w:p>
    <w:p w14:paraId="55DADCD7" w14:textId="77777777" w:rsidR="003B3957" w:rsidRPr="00AB7B88" w:rsidRDefault="003B3957" w:rsidP="00E2027E">
      <w:pPr>
        <w:pStyle w:val="Bodytext1"/>
        <w:shd w:val="clear" w:color="auto" w:fill="auto"/>
        <w:spacing w:before="0" w:line="360" w:lineRule="auto"/>
        <w:ind w:left="522" w:firstLine="0"/>
        <w:rPr>
          <w:sz w:val="20"/>
          <w:lang w:val="de-DE"/>
        </w:rPr>
      </w:pPr>
      <w:r w:rsidRPr="00AB7B88">
        <w:rPr>
          <w:rStyle w:val="Bodytext"/>
          <w:color w:val="000000"/>
          <w:sz w:val="20"/>
          <w:lang w:val="de-DE" w:eastAsia="es-ES_tradnl"/>
        </w:rPr>
        <w:t>Sr. Kevin High</w:t>
      </w:r>
    </w:p>
    <w:p w14:paraId="48570BBC" w14:textId="77777777" w:rsidR="003B3957" w:rsidRPr="00AB7B88" w:rsidRDefault="003B3957" w:rsidP="00E2027E">
      <w:pPr>
        <w:pStyle w:val="Bodytext1"/>
        <w:shd w:val="clear" w:color="auto" w:fill="auto"/>
        <w:spacing w:before="0" w:line="360" w:lineRule="auto"/>
        <w:ind w:left="522" w:firstLine="0"/>
        <w:rPr>
          <w:sz w:val="20"/>
          <w:lang w:val="es-AR"/>
        </w:rPr>
      </w:pPr>
      <w:r w:rsidRPr="00AB7B88">
        <w:rPr>
          <w:rStyle w:val="Bodytext"/>
          <w:color w:val="000000"/>
          <w:sz w:val="20"/>
          <w:lang w:val="es-AR" w:eastAsia="es-ES_tradnl"/>
        </w:rPr>
        <w:t>Sra. Patricia Reichler</w:t>
      </w:r>
    </w:p>
    <w:p w14:paraId="4E69FDCB" w14:textId="77777777" w:rsidR="003B3957" w:rsidRPr="00AB7B88" w:rsidRDefault="003B3957" w:rsidP="00E2027E">
      <w:pPr>
        <w:pStyle w:val="Bodytext51"/>
        <w:shd w:val="clear" w:color="auto" w:fill="auto"/>
        <w:spacing w:before="0" w:after="0" w:line="360" w:lineRule="auto"/>
        <w:ind w:left="522" w:firstLine="0"/>
        <w:rPr>
          <w:sz w:val="20"/>
          <w:lang w:val="es-AR"/>
        </w:rPr>
      </w:pPr>
      <w:r w:rsidRPr="00AB7B88">
        <w:rPr>
          <w:rStyle w:val="Bodytext5NotItalic"/>
          <w:rFonts w:ascii="Times New Roman" w:eastAsia="Arial Unicode MS" w:hAnsi="Times New Roman"/>
          <w:i/>
          <w:iCs/>
          <w:sz w:val="20"/>
          <w:lang w:val="es-AR" w:eastAsia="es-ES_tradnl"/>
        </w:rPr>
        <w:t>(</w:t>
      </w:r>
      <w:r w:rsidRPr="00AB7B88">
        <w:rPr>
          <w:rStyle w:val="Bodytext5"/>
          <w:i/>
          <w:iCs/>
          <w:color w:val="000000"/>
          <w:sz w:val="20"/>
          <w:lang w:val="es-AR" w:eastAsia="es-ES_tradnl"/>
        </w:rPr>
        <w:t>Foley Hoag LLP)</w:t>
      </w:r>
    </w:p>
    <w:p w14:paraId="533A2E0F" w14:textId="77777777" w:rsidR="00DF6396" w:rsidRPr="00AB7B88" w:rsidRDefault="003B3957" w:rsidP="00D24923">
      <w:pPr>
        <w:pStyle w:val="Bodytext1"/>
        <w:shd w:val="clear" w:color="auto" w:fill="auto"/>
        <w:spacing w:before="380" w:line="360" w:lineRule="auto"/>
        <w:ind w:left="522" w:firstLine="0"/>
        <w:rPr>
          <w:rStyle w:val="Bodytext"/>
          <w:color w:val="000000"/>
          <w:sz w:val="20"/>
          <w:lang w:val="de-DE" w:eastAsia="es-ES_tradnl"/>
        </w:rPr>
      </w:pPr>
      <w:r w:rsidRPr="00AB7B88">
        <w:rPr>
          <w:rStyle w:val="Bodytext"/>
          <w:color w:val="000000"/>
          <w:sz w:val="20"/>
          <w:lang w:val="de-DE" w:eastAsia="es-ES_tradnl"/>
        </w:rPr>
        <w:t>Sr. Ray Mcleod</w:t>
      </w:r>
    </w:p>
    <w:p w14:paraId="7A05E311" w14:textId="77777777" w:rsidR="003B3957" w:rsidRPr="00AB7B88" w:rsidRDefault="00761264" w:rsidP="00DF6396">
      <w:pPr>
        <w:pStyle w:val="Bodytext51"/>
        <w:shd w:val="clear" w:color="auto" w:fill="auto"/>
        <w:spacing w:before="0" w:after="0" w:line="360" w:lineRule="auto"/>
        <w:ind w:left="522" w:firstLine="0"/>
        <w:rPr>
          <w:sz w:val="20"/>
          <w:lang w:val="de-DE"/>
        </w:rPr>
      </w:pPr>
      <w:r w:rsidRPr="00AB7B88">
        <w:rPr>
          <w:rStyle w:val="Bodytext"/>
          <w:color w:val="000000"/>
          <w:sz w:val="20"/>
          <w:lang w:val="de-DE" w:eastAsia="es-ES_tradnl"/>
        </w:rPr>
        <w:t>Sr.</w:t>
      </w:r>
      <w:r w:rsidR="003B3957" w:rsidRPr="00AB7B88">
        <w:rPr>
          <w:rStyle w:val="Bodytext"/>
          <w:color w:val="000000"/>
          <w:sz w:val="20"/>
          <w:lang w:val="de-DE" w:eastAsia="es-ES_tradnl"/>
        </w:rPr>
        <w:t xml:space="preserve"> Danis Brito</w:t>
      </w:r>
    </w:p>
    <w:p w14:paraId="4EE4F969" w14:textId="77777777" w:rsidR="003B3957" w:rsidRPr="00AB7B88" w:rsidRDefault="003B3957" w:rsidP="00E2027E">
      <w:pPr>
        <w:pStyle w:val="Bodytext51"/>
        <w:shd w:val="clear" w:color="auto" w:fill="auto"/>
        <w:spacing w:before="0" w:after="0" w:line="360" w:lineRule="auto"/>
        <w:ind w:left="522" w:firstLine="0"/>
        <w:rPr>
          <w:sz w:val="20"/>
          <w:lang w:val="de-DE"/>
        </w:rPr>
      </w:pPr>
      <w:r w:rsidRPr="00AB7B88">
        <w:rPr>
          <w:rStyle w:val="Bodytext5"/>
          <w:i/>
          <w:iCs/>
          <w:color w:val="000000"/>
          <w:sz w:val="20"/>
          <w:lang w:val="de-DE" w:eastAsia="es-ES_tradnl"/>
        </w:rPr>
        <w:t>(DOAR Litigation Consulting)</w:t>
      </w:r>
    </w:p>
    <w:p w14:paraId="41412343" w14:textId="77777777" w:rsidR="00BE49C4" w:rsidRPr="00AB7B88" w:rsidRDefault="003B3957" w:rsidP="00F55875">
      <w:pPr>
        <w:pStyle w:val="Bodytext1"/>
        <w:shd w:val="clear" w:color="auto" w:fill="auto"/>
        <w:spacing w:before="380" w:line="360" w:lineRule="auto"/>
        <w:ind w:left="522" w:firstLine="0"/>
        <w:rPr>
          <w:rStyle w:val="Bodytext"/>
          <w:color w:val="000000"/>
          <w:sz w:val="20"/>
          <w:lang w:val="de-DE" w:eastAsia="es-ES_tradnl"/>
        </w:rPr>
      </w:pPr>
      <w:r w:rsidRPr="00AB7B88">
        <w:rPr>
          <w:rStyle w:val="Bodytext"/>
          <w:color w:val="000000"/>
          <w:sz w:val="20"/>
          <w:lang w:val="de-DE" w:eastAsia="es-ES_tradnl"/>
        </w:rPr>
        <w:t>Sr. Joe Hinzer</w:t>
      </w:r>
    </w:p>
    <w:p w14:paraId="7AF28D50" w14:textId="77777777" w:rsidR="00BE49C4" w:rsidRPr="00AB7B88" w:rsidRDefault="00761264" w:rsidP="00BE49C4">
      <w:pPr>
        <w:pStyle w:val="Bodytext51"/>
        <w:shd w:val="clear" w:color="auto" w:fill="auto"/>
        <w:spacing w:before="0" w:after="0" w:line="360" w:lineRule="auto"/>
        <w:ind w:left="522" w:firstLine="0"/>
        <w:rPr>
          <w:rStyle w:val="Bodytext"/>
          <w:color w:val="000000"/>
          <w:sz w:val="20"/>
          <w:lang w:val="de-DE" w:eastAsia="es-ES_tradnl"/>
        </w:rPr>
      </w:pPr>
      <w:r w:rsidRPr="00AB7B88">
        <w:rPr>
          <w:rStyle w:val="Bodytext"/>
          <w:color w:val="000000"/>
          <w:sz w:val="20"/>
          <w:lang w:val="de-DE" w:eastAsia="es-ES_tradnl"/>
        </w:rPr>
        <w:t>Sr.</w:t>
      </w:r>
      <w:r w:rsidR="003B3957" w:rsidRPr="00AB7B88">
        <w:rPr>
          <w:rStyle w:val="Bodytext"/>
          <w:color w:val="000000"/>
          <w:sz w:val="20"/>
          <w:lang w:val="de-DE" w:eastAsia="es-ES_tradnl"/>
        </w:rPr>
        <w:t xml:space="preserve"> Ross McFarlane</w:t>
      </w:r>
    </w:p>
    <w:p w14:paraId="46243D4F" w14:textId="77777777" w:rsidR="00BE49C4" w:rsidRPr="00AB7B88" w:rsidRDefault="00761264" w:rsidP="00BE49C4">
      <w:pPr>
        <w:pStyle w:val="Bodytext51"/>
        <w:shd w:val="clear" w:color="auto" w:fill="auto"/>
        <w:spacing w:before="0" w:after="0" w:line="360" w:lineRule="auto"/>
        <w:ind w:left="522" w:firstLine="0"/>
        <w:rPr>
          <w:rStyle w:val="Bodytext"/>
          <w:color w:val="000000"/>
          <w:sz w:val="20"/>
          <w:lang w:val="de-DE" w:eastAsia="es-ES_tradnl"/>
        </w:rPr>
      </w:pPr>
      <w:r w:rsidRPr="00AB7B88">
        <w:rPr>
          <w:rStyle w:val="Bodytext"/>
          <w:color w:val="000000"/>
          <w:sz w:val="20"/>
          <w:lang w:val="de-DE" w:eastAsia="es-ES_tradnl"/>
        </w:rPr>
        <w:t>Sr.</w:t>
      </w:r>
      <w:r w:rsidR="003B3957" w:rsidRPr="00AB7B88">
        <w:rPr>
          <w:rStyle w:val="Bodytext"/>
          <w:color w:val="000000"/>
          <w:sz w:val="20"/>
          <w:lang w:val="de-DE" w:eastAsia="es-ES_tradnl"/>
        </w:rPr>
        <w:t xml:space="preserve"> Hans Nilsson</w:t>
      </w:r>
    </w:p>
    <w:p w14:paraId="7750D44A" w14:textId="77777777" w:rsidR="00BE49C4" w:rsidRPr="00AB7B88" w:rsidRDefault="00761264" w:rsidP="00BE49C4">
      <w:pPr>
        <w:pStyle w:val="Bodytext51"/>
        <w:shd w:val="clear" w:color="auto" w:fill="auto"/>
        <w:spacing w:before="0" w:after="0" w:line="360" w:lineRule="auto"/>
        <w:ind w:left="522" w:firstLine="0"/>
        <w:rPr>
          <w:rStyle w:val="Bodytext"/>
          <w:color w:val="000000"/>
          <w:sz w:val="20"/>
          <w:lang w:val="de-DE" w:eastAsia="es-ES_tradnl"/>
        </w:rPr>
      </w:pPr>
      <w:r w:rsidRPr="00AB7B88">
        <w:rPr>
          <w:rStyle w:val="Bodytext"/>
          <w:color w:val="000000"/>
          <w:sz w:val="20"/>
          <w:lang w:val="de-DE" w:eastAsia="es-ES_tradnl"/>
        </w:rPr>
        <w:t>Sr.</w:t>
      </w:r>
      <w:r w:rsidR="003B3957" w:rsidRPr="00AB7B88">
        <w:rPr>
          <w:rStyle w:val="Bodytext"/>
          <w:color w:val="000000"/>
          <w:sz w:val="20"/>
          <w:lang w:val="de-DE" w:eastAsia="es-ES_tradnl"/>
        </w:rPr>
        <w:t xml:space="preserve"> Daniel Flores</w:t>
      </w:r>
    </w:p>
    <w:p w14:paraId="72ED1DDB" w14:textId="77777777" w:rsidR="00BE49C4" w:rsidRPr="00AB7B88" w:rsidRDefault="00761264" w:rsidP="00BE49C4">
      <w:pPr>
        <w:pStyle w:val="Bodytext51"/>
        <w:shd w:val="clear" w:color="auto" w:fill="auto"/>
        <w:spacing w:before="0" w:after="0" w:line="360" w:lineRule="auto"/>
        <w:ind w:left="522" w:firstLine="0"/>
        <w:rPr>
          <w:rStyle w:val="Bodytext"/>
          <w:color w:val="000000"/>
          <w:sz w:val="20"/>
          <w:lang w:val="de-DE" w:eastAsia="es-ES_tradnl"/>
        </w:rPr>
      </w:pPr>
      <w:r w:rsidRPr="00AB7B88">
        <w:rPr>
          <w:rStyle w:val="Bodytext"/>
          <w:color w:val="000000"/>
          <w:sz w:val="20"/>
          <w:lang w:val="de-DE" w:eastAsia="es-ES_tradnl"/>
        </w:rPr>
        <w:t>Sr.</w:t>
      </w:r>
      <w:r w:rsidR="003B3957" w:rsidRPr="00AB7B88">
        <w:rPr>
          <w:rStyle w:val="Bodytext"/>
          <w:color w:val="000000"/>
          <w:sz w:val="20"/>
          <w:lang w:val="de-DE" w:eastAsia="es-ES_tradnl"/>
        </w:rPr>
        <w:t xml:space="preserve"> Darío Gatti</w:t>
      </w:r>
    </w:p>
    <w:p w14:paraId="0D9F47E2" w14:textId="77777777" w:rsidR="00793C95" w:rsidRPr="00AB7B88" w:rsidRDefault="00761264" w:rsidP="00BE49C4">
      <w:pPr>
        <w:pStyle w:val="Bodytext51"/>
        <w:shd w:val="clear" w:color="auto" w:fill="auto"/>
        <w:spacing w:before="0" w:after="0" w:line="360" w:lineRule="auto"/>
        <w:ind w:left="522" w:firstLine="0"/>
        <w:rPr>
          <w:rStyle w:val="Bodytext"/>
          <w:color w:val="000000"/>
          <w:sz w:val="20"/>
          <w:lang w:val="es-AR" w:eastAsia="es-ES_tradnl"/>
        </w:rPr>
      </w:pPr>
      <w:r w:rsidRPr="00AB7B88">
        <w:rPr>
          <w:rStyle w:val="Bodytext"/>
          <w:color w:val="000000"/>
          <w:sz w:val="20"/>
          <w:lang w:val="es-AR" w:eastAsia="es-ES_tradnl"/>
        </w:rPr>
        <w:t>Sr.</w:t>
      </w:r>
      <w:r w:rsidR="00793C95" w:rsidRPr="00AB7B88">
        <w:rPr>
          <w:rStyle w:val="Bodytext"/>
          <w:color w:val="000000"/>
          <w:sz w:val="20"/>
          <w:lang w:val="es-AR" w:eastAsia="es-ES_tradnl"/>
        </w:rPr>
        <w:t xml:space="preserve"> Jordan Heim</w:t>
      </w:r>
    </w:p>
    <w:p w14:paraId="32955D2E" w14:textId="77777777" w:rsidR="009F2DF7" w:rsidRPr="00AB7B88" w:rsidRDefault="003B3957" w:rsidP="009F2DF7">
      <w:pPr>
        <w:pStyle w:val="Bodytext1"/>
        <w:shd w:val="clear" w:color="auto" w:fill="auto"/>
        <w:spacing w:before="0" w:line="360" w:lineRule="auto"/>
        <w:ind w:left="522" w:firstLine="0"/>
        <w:rPr>
          <w:rStyle w:val="Bodytext"/>
          <w:color w:val="000000"/>
          <w:sz w:val="20"/>
          <w:lang w:val="es-AR" w:eastAsia="es-ES_tradnl"/>
        </w:rPr>
      </w:pPr>
      <w:r w:rsidRPr="00AB7B88">
        <w:rPr>
          <w:rStyle w:val="Bodytext"/>
          <w:color w:val="000000"/>
          <w:sz w:val="20"/>
          <w:lang w:val="es-AR" w:eastAsia="es-ES_tradnl"/>
        </w:rPr>
        <w:lastRenderedPageBreak/>
        <w:t>Sra. Mía Martínez</w:t>
      </w:r>
    </w:p>
    <w:p w14:paraId="27246A68" w14:textId="77777777" w:rsidR="003B3957" w:rsidRPr="00AB7B88" w:rsidRDefault="003B3957" w:rsidP="009F2DF7">
      <w:pPr>
        <w:pStyle w:val="Bodytext1"/>
        <w:shd w:val="clear" w:color="auto" w:fill="auto"/>
        <w:spacing w:before="0" w:line="360" w:lineRule="auto"/>
        <w:ind w:left="522" w:firstLine="0"/>
        <w:rPr>
          <w:sz w:val="20"/>
          <w:lang w:val="es-AR"/>
        </w:rPr>
      </w:pPr>
      <w:r w:rsidRPr="00AB7B88">
        <w:rPr>
          <w:rStyle w:val="BodytextItalic"/>
          <w:color w:val="000000"/>
          <w:sz w:val="20"/>
          <w:lang w:val="es-AR" w:eastAsia="es-ES_tradnl"/>
        </w:rPr>
        <w:t>(Peritos)</w:t>
      </w:r>
    </w:p>
    <w:p w14:paraId="3B12D034" w14:textId="77777777" w:rsidR="003B3957" w:rsidRPr="00AB7B88" w:rsidRDefault="003B3957" w:rsidP="009F2DF7">
      <w:pPr>
        <w:pStyle w:val="Bodytext1"/>
        <w:shd w:val="clear" w:color="auto" w:fill="auto"/>
        <w:spacing w:before="380" w:line="360" w:lineRule="auto"/>
        <w:ind w:left="522" w:firstLine="0"/>
        <w:rPr>
          <w:sz w:val="20"/>
          <w:lang w:val="es-AR"/>
        </w:rPr>
      </w:pPr>
      <w:r w:rsidRPr="00AB7B88">
        <w:rPr>
          <w:color w:val="000000"/>
          <w:sz w:val="20"/>
          <w:u w:val="single"/>
          <w:lang w:val="es-AR" w:eastAsia="es-ES_tradnl"/>
        </w:rPr>
        <w:t>Corte Permanente de Arbitraje</w:t>
      </w:r>
    </w:p>
    <w:p w14:paraId="5BCA2C1D" w14:textId="77777777" w:rsidR="003B3957" w:rsidRPr="00AB7B88" w:rsidRDefault="003B3957" w:rsidP="00F360B4">
      <w:pPr>
        <w:pStyle w:val="Bodytext1"/>
        <w:shd w:val="clear" w:color="auto" w:fill="auto"/>
        <w:spacing w:before="380" w:line="360" w:lineRule="auto"/>
        <w:ind w:left="522" w:firstLine="0"/>
        <w:rPr>
          <w:sz w:val="20"/>
          <w:lang w:val="es-AR"/>
        </w:rPr>
      </w:pPr>
      <w:r w:rsidRPr="00AB7B88">
        <w:rPr>
          <w:rStyle w:val="Bodytext"/>
          <w:color w:val="000000"/>
          <w:sz w:val="20"/>
          <w:lang w:val="es-AR" w:eastAsia="es-ES_tradnl"/>
        </w:rPr>
        <w:t>Sr. José Luis Aragón Cardiel, Consejero Legal y Secretario del Tribunal</w:t>
      </w:r>
    </w:p>
    <w:p w14:paraId="760B2A7A" w14:textId="77777777" w:rsidR="003B3957" w:rsidRPr="00AB7B88" w:rsidRDefault="003B3957" w:rsidP="00F360B4">
      <w:pPr>
        <w:pStyle w:val="Bodytext1"/>
        <w:shd w:val="clear" w:color="auto" w:fill="auto"/>
        <w:spacing w:before="380" w:line="360" w:lineRule="auto"/>
        <w:ind w:left="522" w:firstLine="0"/>
        <w:rPr>
          <w:sz w:val="20"/>
          <w:lang w:val="es-AR"/>
        </w:rPr>
      </w:pPr>
      <w:r w:rsidRPr="00AB7B88">
        <w:rPr>
          <w:color w:val="000000"/>
          <w:sz w:val="20"/>
          <w:u w:val="single"/>
          <w:lang w:val="es-AR" w:eastAsia="es-ES_tradnl"/>
        </w:rPr>
        <w:t>Taquígrafos</w:t>
      </w:r>
    </w:p>
    <w:p w14:paraId="25697146" w14:textId="77777777" w:rsidR="00173A9E" w:rsidRPr="00AB7B88" w:rsidRDefault="003B3957" w:rsidP="00F360B4">
      <w:pPr>
        <w:pStyle w:val="Bodytext1"/>
        <w:shd w:val="clear" w:color="auto" w:fill="auto"/>
        <w:spacing w:before="380" w:line="360" w:lineRule="auto"/>
        <w:ind w:left="522" w:firstLine="0"/>
        <w:rPr>
          <w:rStyle w:val="Bodytext5NotItalic"/>
          <w:rFonts w:ascii="Times New Roman" w:eastAsia="Arial Unicode MS" w:hAnsi="Times New Roman"/>
          <w:iCs/>
          <w:sz w:val="20"/>
          <w:lang w:val="es-AR" w:eastAsia="es-ES_tradnl"/>
        </w:rPr>
      </w:pPr>
      <w:r w:rsidRPr="00AB7B88">
        <w:rPr>
          <w:rStyle w:val="Bodytext5NotItalic"/>
          <w:rFonts w:ascii="Times New Roman" w:eastAsia="Arial Unicode MS" w:hAnsi="Times New Roman"/>
          <w:iCs/>
          <w:sz w:val="20"/>
          <w:lang w:val="es-AR" w:eastAsia="es-ES_tradnl"/>
        </w:rPr>
        <w:t>Sr. David Kasdan</w:t>
      </w:r>
    </w:p>
    <w:p w14:paraId="592B5415" w14:textId="77777777" w:rsidR="003B3957" w:rsidRPr="00AB7B88" w:rsidRDefault="003B3957" w:rsidP="00173A9E">
      <w:pPr>
        <w:pStyle w:val="Bodytext1"/>
        <w:shd w:val="clear" w:color="auto" w:fill="auto"/>
        <w:spacing w:before="0" w:line="360" w:lineRule="auto"/>
        <w:ind w:left="522" w:firstLine="0"/>
        <w:rPr>
          <w:sz w:val="20"/>
          <w:lang w:val="es-AR"/>
        </w:rPr>
      </w:pPr>
      <w:r w:rsidRPr="00AB7B88">
        <w:rPr>
          <w:rStyle w:val="Bodytext5"/>
          <w:i/>
          <w:iCs/>
          <w:color w:val="000000"/>
          <w:sz w:val="20"/>
          <w:lang w:val="es-AR" w:eastAsia="es-ES_tradnl"/>
        </w:rPr>
        <w:t>(Worldwide ReportingLLP)</w:t>
      </w:r>
    </w:p>
    <w:p w14:paraId="6E4598AC" w14:textId="77777777" w:rsidR="00210549" w:rsidRPr="00AB7B88" w:rsidRDefault="003B3957" w:rsidP="005C7FFB">
      <w:pPr>
        <w:pStyle w:val="Bodytext1"/>
        <w:shd w:val="clear" w:color="auto" w:fill="auto"/>
        <w:spacing w:before="380" w:line="360" w:lineRule="auto"/>
        <w:ind w:left="522" w:firstLine="0"/>
        <w:rPr>
          <w:rStyle w:val="Bodytext"/>
          <w:color w:val="000000"/>
          <w:sz w:val="20"/>
          <w:lang w:val="it-CH" w:eastAsia="es-ES_tradnl"/>
        </w:rPr>
      </w:pPr>
      <w:r w:rsidRPr="00AB7B88">
        <w:rPr>
          <w:rStyle w:val="Bodytext"/>
          <w:color w:val="000000"/>
          <w:sz w:val="20"/>
          <w:lang w:val="it-CH" w:eastAsia="es-ES_tradnl"/>
        </w:rPr>
        <w:t>Sra. Elizabeth Cicoria</w:t>
      </w:r>
    </w:p>
    <w:p w14:paraId="7EFEDFAA" w14:textId="77777777" w:rsidR="004742B8" w:rsidRPr="00AB7B88" w:rsidRDefault="00761264" w:rsidP="00210549">
      <w:pPr>
        <w:pStyle w:val="Bodytext1"/>
        <w:shd w:val="clear" w:color="auto" w:fill="auto"/>
        <w:spacing w:before="0" w:line="360" w:lineRule="auto"/>
        <w:ind w:left="522" w:firstLine="0"/>
        <w:rPr>
          <w:rStyle w:val="Bodytext"/>
          <w:color w:val="000000"/>
          <w:sz w:val="20"/>
          <w:lang w:val="it-CH" w:eastAsia="es-ES_tradnl"/>
        </w:rPr>
      </w:pPr>
      <w:r w:rsidRPr="00AB7B88">
        <w:rPr>
          <w:rStyle w:val="Bodytext"/>
          <w:color w:val="000000"/>
          <w:sz w:val="20"/>
          <w:lang w:val="it-CH" w:eastAsia="es-ES_tradnl"/>
        </w:rPr>
        <w:t>Sr.</w:t>
      </w:r>
      <w:r w:rsidR="003B3957" w:rsidRPr="00AB7B88">
        <w:rPr>
          <w:rStyle w:val="Bodytext"/>
          <w:color w:val="000000"/>
          <w:sz w:val="20"/>
          <w:lang w:val="it-CH" w:eastAsia="es-ES_tradnl"/>
        </w:rPr>
        <w:t xml:space="preserve"> Dionisio Rinaldi</w:t>
      </w:r>
    </w:p>
    <w:p w14:paraId="12D76D3A" w14:textId="77777777" w:rsidR="003B3957" w:rsidRPr="00AB7B88" w:rsidRDefault="003B3957" w:rsidP="004742B8">
      <w:pPr>
        <w:pStyle w:val="Bodytext1"/>
        <w:shd w:val="clear" w:color="auto" w:fill="auto"/>
        <w:spacing w:before="0" w:line="360" w:lineRule="auto"/>
        <w:ind w:left="522" w:firstLine="0"/>
        <w:rPr>
          <w:sz w:val="20"/>
          <w:lang w:val="it-CH"/>
        </w:rPr>
      </w:pPr>
      <w:r w:rsidRPr="00AB7B88">
        <w:rPr>
          <w:rStyle w:val="BodytextItalic"/>
          <w:color w:val="000000"/>
          <w:sz w:val="20"/>
          <w:lang w:val="it-CH" w:eastAsia="es-ES_tradnl"/>
        </w:rPr>
        <w:t>(DR Esteno)</w:t>
      </w:r>
    </w:p>
    <w:p w14:paraId="6D861645" w14:textId="77777777" w:rsidR="003B3957" w:rsidRPr="00AB7B88" w:rsidRDefault="003B3957" w:rsidP="008356D2">
      <w:pPr>
        <w:pStyle w:val="Bodytext1"/>
        <w:shd w:val="clear" w:color="auto" w:fill="auto"/>
        <w:spacing w:before="380" w:line="360" w:lineRule="auto"/>
        <w:ind w:left="522" w:firstLine="0"/>
        <w:rPr>
          <w:sz w:val="20"/>
          <w:lang w:val="it-CH"/>
        </w:rPr>
      </w:pPr>
      <w:r w:rsidRPr="00AB7B88">
        <w:rPr>
          <w:color w:val="000000"/>
          <w:sz w:val="20"/>
          <w:u w:val="single"/>
          <w:lang w:val="it-CH" w:eastAsia="es-ES_tradnl"/>
        </w:rPr>
        <w:t>Intérpretes</w:t>
      </w:r>
    </w:p>
    <w:p w14:paraId="4C114ADA" w14:textId="77777777" w:rsidR="0057059C" w:rsidRPr="00AB7B88" w:rsidRDefault="003B3957" w:rsidP="001609CA">
      <w:pPr>
        <w:pStyle w:val="Bodytext1"/>
        <w:shd w:val="clear" w:color="auto" w:fill="auto"/>
        <w:spacing w:before="380" w:line="360" w:lineRule="auto"/>
        <w:ind w:left="522" w:firstLine="0"/>
        <w:rPr>
          <w:rStyle w:val="Bodytext"/>
          <w:rFonts w:eastAsia="Calibri"/>
          <w:color w:val="000000"/>
          <w:sz w:val="20"/>
          <w:lang w:val="it-CH" w:eastAsia="es-ES_tradnl"/>
        </w:rPr>
      </w:pPr>
      <w:r w:rsidRPr="00AB7B88">
        <w:rPr>
          <w:rStyle w:val="Bodytext"/>
          <w:rFonts w:eastAsia="Calibri"/>
          <w:color w:val="000000"/>
          <w:sz w:val="20"/>
          <w:lang w:val="it-CH" w:eastAsia="es-ES_tradnl"/>
        </w:rPr>
        <w:t>Sra. Silvia Colla</w:t>
      </w:r>
    </w:p>
    <w:p w14:paraId="4E717BB7" w14:textId="77777777" w:rsidR="003B3957" w:rsidRPr="00AB7B88" w:rsidRDefault="00761264" w:rsidP="0057059C">
      <w:pPr>
        <w:pStyle w:val="Bodytext1"/>
        <w:shd w:val="clear" w:color="auto" w:fill="auto"/>
        <w:spacing w:before="0" w:line="360" w:lineRule="auto"/>
        <w:ind w:left="522" w:firstLine="0"/>
        <w:rPr>
          <w:rStyle w:val="Bodytext"/>
          <w:rFonts w:eastAsia="Calibri"/>
          <w:color w:val="000000"/>
          <w:sz w:val="20"/>
          <w:lang w:val="it-CH" w:eastAsia="es-ES_tradnl"/>
        </w:rPr>
      </w:pPr>
      <w:r w:rsidRPr="00AB7B88">
        <w:rPr>
          <w:rStyle w:val="Bodytext"/>
          <w:rFonts w:eastAsia="Calibri"/>
          <w:color w:val="000000"/>
          <w:sz w:val="20"/>
          <w:lang w:val="it-CH" w:eastAsia="es-ES_tradnl"/>
        </w:rPr>
        <w:t>Sr.</w:t>
      </w:r>
      <w:r w:rsidR="003B3957" w:rsidRPr="00AB7B88">
        <w:rPr>
          <w:rStyle w:val="Bodytext"/>
          <w:rFonts w:eastAsia="Calibri"/>
          <w:color w:val="000000"/>
          <w:sz w:val="20"/>
          <w:lang w:val="it-CH" w:eastAsia="es-ES_tradnl"/>
        </w:rPr>
        <w:t xml:space="preserve"> Daniel Giglio</w:t>
      </w:r>
    </w:p>
    <w:p w14:paraId="72A3F23F" w14:textId="77777777" w:rsidR="00D533FF" w:rsidRPr="00AB7B88" w:rsidRDefault="003B3957" w:rsidP="000053F7">
      <w:pPr>
        <w:pStyle w:val="Bodytext1"/>
        <w:numPr>
          <w:ilvl w:val="0"/>
          <w:numId w:val="6"/>
        </w:numPr>
        <w:shd w:val="clear" w:color="auto" w:fill="auto"/>
        <w:tabs>
          <w:tab w:val="left" w:pos="518"/>
        </w:tabs>
        <w:spacing w:before="380" w:line="360" w:lineRule="auto"/>
        <w:ind w:left="522" w:hanging="522"/>
        <w:jc w:val="both"/>
        <w:rPr>
          <w:rStyle w:val="Bodytext"/>
          <w:sz w:val="20"/>
          <w:lang w:val="es-AR"/>
        </w:rPr>
      </w:pPr>
      <w:r w:rsidRPr="00AB7B88">
        <w:rPr>
          <w:rStyle w:val="Bodytext"/>
          <w:color w:val="000000"/>
          <w:sz w:val="20"/>
          <w:lang w:val="es-AR" w:eastAsia="es-ES_tradnl"/>
        </w:rPr>
        <w:t>Durante la Sesión 2. se interrogó a los</w:t>
      </w:r>
      <w:r w:rsidR="00D533FF" w:rsidRPr="00AB7B88">
        <w:rPr>
          <w:rStyle w:val="Bodytext"/>
          <w:color w:val="000000"/>
          <w:sz w:val="20"/>
          <w:lang w:val="es-AR" w:eastAsia="es-ES_tradnl"/>
        </w:rPr>
        <w:t xml:space="preserve"> peritos en el siguiente orden:</w:t>
      </w:r>
    </w:p>
    <w:p w14:paraId="169141C4" w14:textId="77777777" w:rsidR="00D533FF" w:rsidRPr="00AB7B88" w:rsidRDefault="003B3957" w:rsidP="00D533FF">
      <w:pPr>
        <w:pStyle w:val="Bodytext1"/>
        <w:shd w:val="clear" w:color="auto" w:fill="auto"/>
        <w:tabs>
          <w:tab w:val="left" w:pos="518"/>
        </w:tabs>
        <w:spacing w:before="0" w:line="360" w:lineRule="auto"/>
        <w:ind w:left="522" w:firstLine="0"/>
        <w:jc w:val="both"/>
        <w:rPr>
          <w:rStyle w:val="Bodytext"/>
          <w:color w:val="000000"/>
          <w:sz w:val="20"/>
          <w:lang w:val="de-DE" w:eastAsia="es-ES_tradnl"/>
        </w:rPr>
      </w:pPr>
      <w:r w:rsidRPr="00AB7B88">
        <w:rPr>
          <w:rStyle w:val="Bodytext"/>
          <w:color w:val="000000"/>
          <w:sz w:val="20"/>
          <w:lang w:val="de-DE" w:eastAsia="es-ES_tradnl"/>
        </w:rPr>
        <w:t>Sr. Rodney G. Beddows</w:t>
      </w:r>
    </w:p>
    <w:p w14:paraId="5D94BED0" w14:textId="77777777" w:rsidR="00D533FF" w:rsidRPr="00AB7B88" w:rsidRDefault="003B3957" w:rsidP="00D533FF">
      <w:pPr>
        <w:pStyle w:val="Bodytext1"/>
        <w:shd w:val="clear" w:color="auto" w:fill="auto"/>
        <w:tabs>
          <w:tab w:val="left" w:pos="518"/>
        </w:tabs>
        <w:spacing w:before="0" w:line="360" w:lineRule="auto"/>
        <w:ind w:left="522" w:firstLine="0"/>
        <w:jc w:val="both"/>
        <w:rPr>
          <w:rStyle w:val="Bodytext"/>
          <w:color w:val="000000"/>
          <w:sz w:val="20"/>
          <w:lang w:val="en-IN" w:eastAsia="es-ES_tradnl"/>
        </w:rPr>
      </w:pPr>
      <w:r w:rsidRPr="00AB7B88">
        <w:rPr>
          <w:rStyle w:val="Bodytext"/>
          <w:color w:val="000000"/>
          <w:sz w:val="20"/>
          <w:lang w:val="de-DE" w:eastAsia="es-ES_tradnl"/>
        </w:rPr>
        <w:t xml:space="preserve">Sres. </w:t>
      </w:r>
      <w:r w:rsidRPr="00AB7B88">
        <w:rPr>
          <w:rStyle w:val="Bodytext"/>
          <w:color w:val="000000"/>
          <w:sz w:val="20"/>
          <w:lang w:val="en-IN" w:eastAsia="es-ES_tradnl"/>
        </w:rPr>
        <w:t>Rick Lambert y Graham Clow</w:t>
      </w:r>
    </w:p>
    <w:p w14:paraId="2E691DC3" w14:textId="77777777" w:rsidR="00D533FF" w:rsidRPr="00C132A4" w:rsidRDefault="003B3957" w:rsidP="00D533FF">
      <w:pPr>
        <w:pStyle w:val="Bodytext1"/>
        <w:shd w:val="clear" w:color="auto" w:fill="auto"/>
        <w:tabs>
          <w:tab w:val="left" w:pos="518"/>
        </w:tabs>
        <w:spacing w:before="0" w:line="360" w:lineRule="auto"/>
        <w:ind w:left="522" w:firstLine="0"/>
        <w:jc w:val="both"/>
        <w:rPr>
          <w:rStyle w:val="Bodytext"/>
          <w:color w:val="000000"/>
          <w:sz w:val="20"/>
          <w:lang w:val="fr-FR" w:eastAsia="es-ES_tradnl"/>
        </w:rPr>
      </w:pPr>
      <w:r w:rsidRPr="00AB7B88">
        <w:rPr>
          <w:rStyle w:val="Bodytext"/>
          <w:color w:val="000000"/>
          <w:sz w:val="20"/>
          <w:lang w:val="en-IN" w:eastAsia="es-ES_tradnl"/>
        </w:rPr>
        <w:t xml:space="preserve">Sres. </w:t>
      </w:r>
      <w:r w:rsidRPr="00C132A4">
        <w:rPr>
          <w:rStyle w:val="Bodytext"/>
          <w:color w:val="000000"/>
          <w:sz w:val="20"/>
          <w:lang w:val="fr-FR" w:eastAsia="es-ES_tradnl"/>
        </w:rPr>
        <w:t>Joe Hinzer. Ross McFarlane y Hans Nilsson</w:t>
      </w:r>
    </w:p>
    <w:p w14:paraId="11A78068" w14:textId="77777777" w:rsidR="001B3278" w:rsidRPr="00AB7B88" w:rsidRDefault="003B3957" w:rsidP="00D533FF">
      <w:pPr>
        <w:pStyle w:val="Bodytext1"/>
        <w:shd w:val="clear" w:color="auto" w:fill="auto"/>
        <w:tabs>
          <w:tab w:val="left" w:pos="518"/>
        </w:tabs>
        <w:spacing w:before="0" w:line="360" w:lineRule="auto"/>
        <w:ind w:left="522" w:firstLine="0"/>
        <w:jc w:val="both"/>
        <w:rPr>
          <w:rStyle w:val="Bodytext"/>
          <w:color w:val="000000"/>
          <w:sz w:val="20"/>
          <w:lang w:val="es-AR" w:eastAsia="es-ES_tradnl"/>
        </w:rPr>
      </w:pPr>
      <w:r w:rsidRPr="00C132A4">
        <w:rPr>
          <w:rStyle w:val="Bodytext"/>
          <w:color w:val="000000"/>
          <w:sz w:val="20"/>
          <w:lang w:val="fr-FR" w:eastAsia="es-ES_tradnl"/>
        </w:rPr>
        <w:t xml:space="preserve">Sres. </w:t>
      </w:r>
      <w:r w:rsidRPr="00AB7B88">
        <w:rPr>
          <w:rStyle w:val="Bodytext"/>
          <w:color w:val="000000"/>
          <w:sz w:val="20"/>
          <w:lang w:val="es-AR" w:eastAsia="es-ES_tradnl"/>
        </w:rPr>
        <w:t>Manuel Abdala y Pablo Zadicoff</w:t>
      </w:r>
    </w:p>
    <w:p w14:paraId="61F5E2F5" w14:textId="77777777" w:rsidR="003B3957" w:rsidRPr="00AB7B88" w:rsidRDefault="003B3957" w:rsidP="00D533FF">
      <w:pPr>
        <w:pStyle w:val="Bodytext1"/>
        <w:shd w:val="clear" w:color="auto" w:fill="auto"/>
        <w:tabs>
          <w:tab w:val="left" w:pos="518"/>
        </w:tabs>
        <w:spacing w:before="0" w:line="360" w:lineRule="auto"/>
        <w:ind w:left="522" w:firstLine="0"/>
        <w:jc w:val="both"/>
        <w:rPr>
          <w:sz w:val="20"/>
          <w:lang w:val="es-AR"/>
        </w:rPr>
      </w:pPr>
      <w:r w:rsidRPr="00AB7B88">
        <w:rPr>
          <w:rStyle w:val="Bodytext"/>
          <w:color w:val="000000"/>
          <w:sz w:val="20"/>
          <w:lang w:val="es-AR" w:eastAsia="es-ES_tradnl"/>
        </w:rPr>
        <w:t>Sr. Daniel Flores</w:t>
      </w:r>
    </w:p>
    <w:p w14:paraId="3110AE4A" w14:textId="77777777" w:rsidR="003B3957" w:rsidRPr="00AB7B88" w:rsidRDefault="003B3957" w:rsidP="000053F7">
      <w:pPr>
        <w:pStyle w:val="Bodytext30"/>
        <w:widowControl w:val="0"/>
        <w:numPr>
          <w:ilvl w:val="0"/>
          <w:numId w:val="64"/>
        </w:numPr>
        <w:shd w:val="clear" w:color="auto" w:fill="auto"/>
        <w:spacing w:before="380" w:after="0" w:line="360" w:lineRule="auto"/>
        <w:ind w:left="340" w:hanging="340"/>
        <w:jc w:val="both"/>
        <w:rPr>
          <w:sz w:val="20"/>
        </w:rPr>
      </w:pPr>
      <w:bookmarkStart w:id="33" w:name="bookmark38"/>
      <w:bookmarkStart w:id="34" w:name="bookmark39"/>
      <w:r w:rsidRPr="00AB7B88">
        <w:rPr>
          <w:rStyle w:val="Heading2"/>
          <w:rFonts w:ascii="Times New Roman" w:hAnsi="Times New Roman"/>
          <w:color w:val="000000"/>
          <w:sz w:val="20"/>
          <w:lang w:eastAsia="es-ES_tradnl"/>
        </w:rPr>
        <w:t>Procedimiento post-audiencia</w:t>
      </w:r>
      <w:bookmarkEnd w:id="33"/>
      <w:bookmarkEnd w:id="34"/>
    </w:p>
    <w:p w14:paraId="67FB2C31" w14:textId="77777777" w:rsidR="003B3957" w:rsidRPr="00AB7B88" w:rsidRDefault="003B3957" w:rsidP="000053F7">
      <w:pPr>
        <w:pStyle w:val="Bodytext1"/>
        <w:numPr>
          <w:ilvl w:val="0"/>
          <w:numId w:val="6"/>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El 24 de febrero de 2020, los Demandantes presentaron una comunicación en la que abordaron ciertas cuestiones sobre el análisis del flujo de caja descontado.</w:t>
      </w:r>
    </w:p>
    <w:p w14:paraId="29DB2F71" w14:textId="77777777" w:rsidR="003B3957" w:rsidRPr="00AB7B88" w:rsidRDefault="003B3957" w:rsidP="00154DE6">
      <w:pPr>
        <w:pStyle w:val="Bodytext1"/>
        <w:numPr>
          <w:ilvl w:val="0"/>
          <w:numId w:val="6"/>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El 27 de febrero de 2020, la Demandada presentó comentarios sobre la carta de los Demandantes del 24 de febrero de 2020.</w:t>
      </w:r>
    </w:p>
    <w:p w14:paraId="58B7BB25" w14:textId="77777777" w:rsidR="003B3957" w:rsidRPr="00AB7B88" w:rsidRDefault="003B3957" w:rsidP="00154DE6">
      <w:pPr>
        <w:pStyle w:val="Bodytext1"/>
        <w:numPr>
          <w:ilvl w:val="0"/>
          <w:numId w:val="6"/>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lastRenderedPageBreak/>
        <w:t>El 5 de marzo de 2020, el Tribunal: i) decidió no solicitar escritos adicionales a las Partes; y ii) invitó a las Partes a presentar declaraciones sobre costes.</w:t>
      </w:r>
    </w:p>
    <w:p w14:paraId="1B936405" w14:textId="77777777" w:rsidR="003B3957" w:rsidRPr="00AB7B88" w:rsidRDefault="003B3957" w:rsidP="008D16D0">
      <w:pPr>
        <w:pStyle w:val="Bodytext1"/>
        <w:numPr>
          <w:ilvl w:val="0"/>
          <w:numId w:val="6"/>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El 15 de abril de 2020, las Partes presentaron sus respectivos Escritos sobre costes.</w:t>
      </w:r>
    </w:p>
    <w:p w14:paraId="0070C4AD" w14:textId="77777777" w:rsidR="003B3957" w:rsidRPr="00AB7B88" w:rsidRDefault="003B3957" w:rsidP="000053F7">
      <w:pPr>
        <w:pStyle w:val="Bodytext30"/>
        <w:widowControl w:val="0"/>
        <w:numPr>
          <w:ilvl w:val="0"/>
          <w:numId w:val="64"/>
        </w:numPr>
        <w:shd w:val="clear" w:color="auto" w:fill="auto"/>
        <w:spacing w:before="380" w:after="0" w:line="360" w:lineRule="auto"/>
        <w:ind w:left="340" w:hanging="340"/>
        <w:jc w:val="both"/>
        <w:rPr>
          <w:sz w:val="20"/>
        </w:rPr>
      </w:pPr>
      <w:bookmarkStart w:id="35" w:name="bookmark40"/>
      <w:bookmarkStart w:id="36" w:name="bookmark41"/>
      <w:r w:rsidRPr="00AB7B88">
        <w:rPr>
          <w:rStyle w:val="Heading2"/>
          <w:rFonts w:ascii="Times New Roman" w:hAnsi="Times New Roman"/>
          <w:color w:val="000000"/>
          <w:sz w:val="20"/>
          <w:lang w:eastAsia="es-ES_tradnl"/>
        </w:rPr>
        <w:t>Cierre de las audiencias</w:t>
      </w:r>
      <w:bookmarkEnd w:id="35"/>
      <w:bookmarkEnd w:id="36"/>
    </w:p>
    <w:p w14:paraId="0135BE73" w14:textId="77777777" w:rsidR="003B3957" w:rsidRPr="00AB7B88" w:rsidRDefault="003B3957" w:rsidP="008D16D0">
      <w:pPr>
        <w:pStyle w:val="Bodytext1"/>
        <w:numPr>
          <w:ilvl w:val="0"/>
          <w:numId w:val="6"/>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El 2 de junio de 2020, el Tribunal invitó a las Partes a indicar, para los fines del artículo 31.1 del Reglamento CNUDMI, si tenían más pruebas que ofrecer o testigos que presentar o exposiciones que hacer.</w:t>
      </w:r>
    </w:p>
    <w:p w14:paraId="05D7EB98" w14:textId="77777777" w:rsidR="003B3957" w:rsidRPr="00AB7B88" w:rsidRDefault="003B3957" w:rsidP="008D16D0">
      <w:pPr>
        <w:pStyle w:val="Bodytext1"/>
        <w:numPr>
          <w:ilvl w:val="0"/>
          <w:numId w:val="6"/>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El 16 de junio de 2020, los Partes presentaron sus respuestas a la comunicación del Tribunal del 2 de junio de 2020.</w:t>
      </w:r>
    </w:p>
    <w:p w14:paraId="4775CC78" w14:textId="77777777" w:rsidR="003B3957" w:rsidRPr="00AB7B88" w:rsidRDefault="003B3957" w:rsidP="008D16D0">
      <w:pPr>
        <w:pStyle w:val="Bodytext1"/>
        <w:numPr>
          <w:ilvl w:val="0"/>
          <w:numId w:val="6"/>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El 19 de junio de 2020, el Tribunal advirtió que consideraba innecesario recibir alegatos adicionales de las Partes y declaró cerradas las audiencias, de conformidad con el artículo 31.1 del Reglamento CNUDMI.</w:t>
      </w:r>
    </w:p>
    <w:p w14:paraId="0D31E32C" w14:textId="77777777" w:rsidR="003B3957" w:rsidRPr="00AB7B88" w:rsidRDefault="003B3957" w:rsidP="00B670DF">
      <w:pPr>
        <w:pStyle w:val="Heading20"/>
        <w:keepNext/>
        <w:keepLines/>
        <w:numPr>
          <w:ilvl w:val="0"/>
          <w:numId w:val="5"/>
        </w:numPr>
        <w:shd w:val="clear" w:color="auto" w:fill="auto"/>
        <w:tabs>
          <w:tab w:val="left" w:pos="425"/>
        </w:tabs>
        <w:spacing w:before="380" w:after="0" w:line="360" w:lineRule="auto"/>
        <w:ind w:firstLine="0"/>
        <w:jc w:val="left"/>
        <w:rPr>
          <w:rFonts w:ascii="Times New Roman" w:hAnsi="Times New Roman"/>
          <w:b w:val="0"/>
          <w:sz w:val="20"/>
        </w:rPr>
      </w:pPr>
      <w:bookmarkStart w:id="37" w:name="bookmark42"/>
      <w:bookmarkStart w:id="38" w:name="bookmark43"/>
      <w:r w:rsidRPr="00AB7B88">
        <w:rPr>
          <w:rStyle w:val="Heading2"/>
          <w:rFonts w:ascii="Times New Roman" w:hAnsi="Times New Roman"/>
          <w:b/>
          <w:color w:val="000000"/>
          <w:sz w:val="20"/>
          <w:lang w:eastAsia="es-ES_tradnl"/>
        </w:rPr>
        <w:t>ANTECEDENTES DE HECHO</w:t>
      </w:r>
      <w:bookmarkEnd w:id="37"/>
      <w:bookmarkEnd w:id="38"/>
    </w:p>
    <w:p w14:paraId="4DE4C59B" w14:textId="77777777" w:rsidR="003B3957" w:rsidRPr="00AB7B88" w:rsidRDefault="003B3957" w:rsidP="00A5635B">
      <w:pPr>
        <w:pStyle w:val="Bodytext1"/>
        <w:numPr>
          <w:ilvl w:val="0"/>
          <w:numId w:val="6"/>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La siguiente exposición de hechos es un resumen de los antecedentes de hecho de esta controversia conforme han sido descritos por las Partes en sus alegatos. No se prevé establecer todos los hechos conforme fueron alegados por las Partes, ni los alegatos íntegros de las Partes.</w:t>
      </w:r>
    </w:p>
    <w:p w14:paraId="5C7DB51B" w14:textId="77777777" w:rsidR="003B3957" w:rsidRPr="00AB7B88" w:rsidRDefault="003B3957" w:rsidP="00A5635B">
      <w:pPr>
        <w:pStyle w:val="Bodytext1"/>
        <w:numPr>
          <w:ilvl w:val="0"/>
          <w:numId w:val="6"/>
        </w:numPr>
        <w:shd w:val="clear" w:color="auto" w:fill="auto"/>
        <w:tabs>
          <w:tab w:val="left" w:pos="518"/>
        </w:tabs>
        <w:spacing w:before="380" w:line="360" w:lineRule="auto"/>
        <w:ind w:left="522" w:hanging="522"/>
        <w:jc w:val="both"/>
        <w:rPr>
          <w:sz w:val="20"/>
          <w:lang w:val="es-AR"/>
        </w:rPr>
      </w:pPr>
      <w:r w:rsidRPr="00AB7B88">
        <w:rPr>
          <w:rStyle w:val="Bodytext"/>
          <w:color w:val="000000"/>
          <w:sz w:val="20"/>
          <w:lang w:val="es-AR" w:eastAsia="es-ES_tradnl"/>
        </w:rPr>
        <w:t>Las caracterizaciones respectivas de las Partes de ciertos eventos centrales difieren marcadamente; se deja constancia de dichas diferencias a medida que surgen.</w:t>
      </w:r>
    </w:p>
    <w:p w14:paraId="5D99B8EE" w14:textId="77777777" w:rsidR="003B3957" w:rsidRPr="00AB7B88" w:rsidRDefault="003B3957" w:rsidP="000053F7">
      <w:pPr>
        <w:pStyle w:val="Bodytext30"/>
        <w:widowControl w:val="0"/>
        <w:numPr>
          <w:ilvl w:val="0"/>
          <w:numId w:val="65"/>
        </w:numPr>
        <w:shd w:val="clear" w:color="auto" w:fill="auto"/>
        <w:spacing w:before="380" w:after="0" w:line="360" w:lineRule="auto"/>
        <w:ind w:left="340" w:hanging="340"/>
        <w:jc w:val="both"/>
        <w:rPr>
          <w:sz w:val="20"/>
        </w:rPr>
      </w:pPr>
      <w:bookmarkStart w:id="39" w:name="bookmark44"/>
      <w:bookmarkStart w:id="40" w:name="bookmark45"/>
      <w:r w:rsidRPr="00AB7B88">
        <w:rPr>
          <w:rStyle w:val="Heading2"/>
          <w:rFonts w:ascii="Times New Roman" w:hAnsi="Times New Roman"/>
          <w:color w:val="000000"/>
          <w:sz w:val="20"/>
          <w:lang w:eastAsia="es-ES_tradnl"/>
        </w:rPr>
        <w:t>El Proyecto Valentines</w:t>
      </w:r>
      <w:bookmarkEnd w:id="39"/>
      <w:bookmarkEnd w:id="40"/>
    </w:p>
    <w:p w14:paraId="6D58606B" w14:textId="77777777" w:rsidR="003B3957" w:rsidRPr="00AB7B88" w:rsidRDefault="003B3957" w:rsidP="00A33B7A">
      <w:pPr>
        <w:pStyle w:val="Heading20"/>
        <w:keepNext/>
        <w:keepLines/>
        <w:numPr>
          <w:ilvl w:val="0"/>
          <w:numId w:val="8"/>
        </w:numPr>
        <w:shd w:val="clear" w:color="auto" w:fill="auto"/>
        <w:tabs>
          <w:tab w:val="left" w:pos="425"/>
        </w:tabs>
        <w:spacing w:before="380" w:after="0" w:line="360" w:lineRule="auto"/>
        <w:ind w:firstLine="0"/>
        <w:rPr>
          <w:rFonts w:ascii="Times New Roman" w:hAnsi="Times New Roman"/>
          <w:b w:val="0"/>
          <w:sz w:val="20"/>
        </w:rPr>
      </w:pPr>
      <w:bookmarkStart w:id="41" w:name="bookmark46"/>
      <w:bookmarkStart w:id="42" w:name="bookmark47"/>
      <w:r w:rsidRPr="00AB7B88">
        <w:rPr>
          <w:rStyle w:val="Heading2"/>
          <w:rFonts w:ascii="Times New Roman" w:hAnsi="Times New Roman"/>
          <w:b/>
          <w:color w:val="000000"/>
          <w:sz w:val="20"/>
          <w:lang w:eastAsia="es-ES_tradnl"/>
        </w:rPr>
        <w:t>El Proyecto</w:t>
      </w:r>
      <w:bookmarkEnd w:id="41"/>
      <w:bookmarkEnd w:id="42"/>
    </w:p>
    <w:p w14:paraId="7277E087" w14:textId="77777777" w:rsidR="003B3957" w:rsidRPr="00AB7B88" w:rsidRDefault="003B3957" w:rsidP="000053F7">
      <w:pPr>
        <w:pStyle w:val="Bodytext1"/>
        <w:numPr>
          <w:ilvl w:val="0"/>
          <w:numId w:val="6"/>
        </w:numPr>
        <w:shd w:val="clear" w:color="auto" w:fill="auto"/>
        <w:tabs>
          <w:tab w:val="left" w:pos="738"/>
        </w:tabs>
        <w:spacing w:before="380" w:line="360" w:lineRule="auto"/>
        <w:ind w:left="522" w:hanging="522"/>
        <w:jc w:val="both"/>
        <w:rPr>
          <w:sz w:val="20"/>
          <w:lang w:val="es-AR"/>
        </w:rPr>
      </w:pPr>
      <w:r w:rsidRPr="00AB7B88">
        <w:rPr>
          <w:rStyle w:val="Bodytext"/>
          <w:color w:val="000000"/>
          <w:sz w:val="20"/>
          <w:lang w:val="es-AR" w:eastAsia="es-ES_tradnl"/>
        </w:rPr>
        <w:t>El área de Valentines está situada en la región de Cerro Chato en la parte centro-occidental del Uruguay</w:t>
      </w:r>
      <w:r w:rsidRPr="00AB7B88">
        <w:rPr>
          <w:rStyle w:val="Bodytext"/>
          <w:color w:val="000000"/>
          <w:sz w:val="20"/>
          <w:vertAlign w:val="superscript"/>
          <w:lang w:eastAsia="es-ES_tradnl"/>
        </w:rPr>
        <w:footnoteReference w:id="11"/>
      </w:r>
      <w:r w:rsidRPr="00AB7B88">
        <w:rPr>
          <w:rStyle w:val="Bodytext"/>
          <w:color w:val="000000"/>
          <w:sz w:val="20"/>
          <w:lang w:val="es-AR" w:eastAsia="es-ES_tradnl"/>
        </w:rPr>
        <w:t>. En 2007, Minera Aratirí inició la exploración del área de Valentines tras adquirir permisos de prospección de Loselem S.A.</w:t>
      </w:r>
      <w:r w:rsidRPr="00AB7B88">
        <w:rPr>
          <w:rStyle w:val="Bodytext"/>
          <w:color w:val="000000"/>
          <w:sz w:val="20"/>
          <w:vertAlign w:val="superscript"/>
          <w:lang w:eastAsia="es-ES_tradnl"/>
        </w:rPr>
        <w:footnoteReference w:id="12"/>
      </w:r>
      <w:r w:rsidRPr="00AB7B88">
        <w:rPr>
          <w:rStyle w:val="Bodytext"/>
          <w:color w:val="000000"/>
          <w:sz w:val="20"/>
          <w:lang w:val="es-AR" w:eastAsia="es-ES_tradnl"/>
        </w:rPr>
        <w:t>.</w:t>
      </w:r>
    </w:p>
    <w:p w14:paraId="7BED9E64" w14:textId="77777777" w:rsidR="003B3957" w:rsidRPr="00AB7B88" w:rsidRDefault="003B3957" w:rsidP="000053F7">
      <w:pPr>
        <w:pStyle w:val="Bodytext1"/>
        <w:numPr>
          <w:ilvl w:val="0"/>
          <w:numId w:val="6"/>
        </w:numPr>
        <w:shd w:val="clear" w:color="auto" w:fill="auto"/>
        <w:tabs>
          <w:tab w:val="left" w:pos="738"/>
        </w:tabs>
        <w:spacing w:before="380" w:line="360" w:lineRule="auto"/>
        <w:ind w:left="522" w:hanging="522"/>
        <w:jc w:val="both"/>
        <w:rPr>
          <w:sz w:val="20"/>
          <w:lang w:val="es-AR"/>
        </w:rPr>
      </w:pPr>
      <w:r w:rsidRPr="00AB7B88">
        <w:rPr>
          <w:rStyle w:val="Bodytext"/>
          <w:color w:val="000000"/>
          <w:sz w:val="20"/>
          <w:lang w:val="es-AR" w:eastAsia="es-ES_tradnl"/>
        </w:rPr>
        <w:lastRenderedPageBreak/>
        <w:t>Minera Aratirí preveía que los precios del mineral de hierro aumentarían considerablemente en los años venideros, por lo que concluyó que el área de Valentines tenía un potencial extraordinario y tomó medidas importantes para desarrollar el Proyecto Valentines</w:t>
      </w:r>
      <w:r w:rsidRPr="00AB7B88">
        <w:rPr>
          <w:rStyle w:val="Bodytext"/>
          <w:color w:val="000000"/>
          <w:sz w:val="20"/>
          <w:vertAlign w:val="superscript"/>
          <w:lang w:eastAsia="es-ES_tradnl"/>
        </w:rPr>
        <w:footnoteReference w:id="13"/>
      </w:r>
      <w:r w:rsidRPr="00AB7B88">
        <w:rPr>
          <w:rStyle w:val="Bodytext"/>
          <w:color w:val="000000"/>
          <w:sz w:val="20"/>
          <w:lang w:val="es-AR" w:eastAsia="es-ES_tradnl"/>
        </w:rPr>
        <w:t>. En particular, Minera Aratirí encargó a SNC-Lavalin, filial de una firma importante de ingeniería, licitaciones y construcción, un estudio de pre-factibilidad para el Proyecto Valentines, el cual se entregó en abril de 2010 (el "estudio de pre-factibilidad" o el "PFS", por sus siglas en inglés)</w:t>
      </w:r>
      <w:r w:rsidRPr="00AB7B88">
        <w:rPr>
          <w:rStyle w:val="Bodytext"/>
          <w:color w:val="000000"/>
          <w:sz w:val="20"/>
          <w:vertAlign w:val="superscript"/>
          <w:lang w:eastAsia="es-ES_tradnl"/>
        </w:rPr>
        <w:footnoteReference w:id="14"/>
      </w:r>
      <w:r w:rsidRPr="00AB7B88">
        <w:rPr>
          <w:rStyle w:val="Bodytext"/>
          <w:color w:val="000000"/>
          <w:sz w:val="20"/>
          <w:lang w:val="es-AR" w:eastAsia="es-ES_tradnl"/>
        </w:rPr>
        <w:t>. A su vez, al PFS le siguió un estudio definitivo de factibilidad, completado en julio de 2011 (el "estudio definitivo de factibilidad" o el "DFS", por sus siglas en inglés)</w:t>
      </w:r>
      <w:r w:rsidRPr="00AB7B88">
        <w:rPr>
          <w:rStyle w:val="Bodytext"/>
          <w:color w:val="000000"/>
          <w:sz w:val="20"/>
          <w:vertAlign w:val="superscript"/>
          <w:lang w:eastAsia="es-ES_tradnl"/>
        </w:rPr>
        <w:footnoteReference w:id="15"/>
      </w:r>
      <w:r w:rsidRPr="00AB7B88">
        <w:rPr>
          <w:rStyle w:val="Bodytext"/>
          <w:color w:val="000000"/>
          <w:sz w:val="20"/>
          <w:lang w:val="es-AR" w:eastAsia="es-ES_tradnl"/>
        </w:rPr>
        <w:t>.</w:t>
      </w:r>
    </w:p>
    <w:p w14:paraId="65E24C33" w14:textId="77777777" w:rsidR="003B3957" w:rsidRPr="00AB7B88" w:rsidRDefault="003B3957" w:rsidP="000053F7">
      <w:pPr>
        <w:pStyle w:val="Bodytext1"/>
        <w:numPr>
          <w:ilvl w:val="0"/>
          <w:numId w:val="6"/>
        </w:numPr>
        <w:shd w:val="clear" w:color="auto" w:fill="auto"/>
        <w:tabs>
          <w:tab w:val="left" w:pos="743"/>
        </w:tabs>
        <w:spacing w:before="380" w:line="360" w:lineRule="auto"/>
        <w:ind w:left="522" w:hanging="522"/>
        <w:jc w:val="both"/>
        <w:rPr>
          <w:sz w:val="20"/>
          <w:lang w:val="es-AR"/>
        </w:rPr>
      </w:pPr>
      <w:r w:rsidRPr="00AB7B88">
        <w:rPr>
          <w:rStyle w:val="Bodytext"/>
          <w:color w:val="000000"/>
          <w:sz w:val="20"/>
          <w:lang w:val="es-AR" w:eastAsia="es-ES_tradnl"/>
        </w:rPr>
        <w:t xml:space="preserve">Conforme se describe en detalle en el DFS, Minera Aratirí planeaba administrar el Proyecto Valentines mediante un complejo industrial de envergadura conformado por varios elementos de infraestructura y otras instalaciones. Estos elementos, que debían ser construidos específicamente por Minera Aratirí, comprendían: i) una serie de minas a cielo abierto para extraer el mineral de hierro </w:t>
      </w:r>
      <w:r w:rsidRPr="00AB7B88">
        <w:rPr>
          <w:rStyle w:val="Bodytext"/>
          <w:color w:val="000000"/>
          <w:sz w:val="20"/>
          <w:vertAlign w:val="superscript"/>
          <w:lang w:eastAsia="es-ES_tradnl"/>
        </w:rPr>
        <w:footnoteReference w:id="16"/>
      </w:r>
      <w:r w:rsidRPr="00AB7B88">
        <w:rPr>
          <w:rStyle w:val="Bodytext"/>
          <w:color w:val="000000"/>
          <w:sz w:val="20"/>
          <w:lang w:val="es-AR" w:eastAsia="es-ES_tradnl"/>
        </w:rPr>
        <w:t>; ii) una planta de beneficiamiento que procesaría las rocas extraídas de las minas para lograr un "concentrado de alta ley"</w:t>
      </w:r>
      <w:r w:rsidRPr="00AB7B88">
        <w:rPr>
          <w:rStyle w:val="Bodytext"/>
          <w:color w:val="000000"/>
          <w:sz w:val="20"/>
          <w:vertAlign w:val="superscript"/>
          <w:lang w:eastAsia="es-ES_tradnl"/>
        </w:rPr>
        <w:footnoteReference w:id="17"/>
      </w:r>
      <w:r w:rsidRPr="00AB7B88">
        <w:rPr>
          <w:rStyle w:val="Bodytext"/>
          <w:color w:val="000000"/>
          <w:sz w:val="20"/>
          <w:lang w:val="es-AR" w:eastAsia="es-ES_tradnl"/>
        </w:rPr>
        <w:t>; iii) un mineroducto subterráneo de 212 km de extensión, que transportaría el concentrado del mineral de hierro de la planta de beneficiamiento a una planta de filtración en la costa</w:t>
      </w:r>
      <w:r w:rsidRPr="00AB7B88">
        <w:rPr>
          <w:rStyle w:val="Bodytext"/>
          <w:color w:val="000000"/>
          <w:sz w:val="20"/>
          <w:vertAlign w:val="superscript"/>
          <w:lang w:eastAsia="es-ES_tradnl"/>
        </w:rPr>
        <w:footnoteReference w:id="18"/>
      </w:r>
      <w:r w:rsidRPr="00AB7B88">
        <w:rPr>
          <w:rStyle w:val="Bodytext"/>
          <w:color w:val="000000"/>
          <w:sz w:val="20"/>
          <w:lang w:val="es-AR" w:eastAsia="es-ES_tradnl"/>
        </w:rPr>
        <w:t>, junto con un acueducto de retomo para transportar agua de la costa a la planta de benefíciamiento</w:t>
      </w:r>
      <w:r w:rsidRPr="00AB7B88">
        <w:rPr>
          <w:rStyle w:val="Bodytext"/>
          <w:color w:val="000000"/>
          <w:sz w:val="20"/>
          <w:vertAlign w:val="superscript"/>
          <w:lang w:eastAsia="es-ES_tradnl"/>
        </w:rPr>
        <w:footnoteReference w:id="19"/>
      </w:r>
      <w:r w:rsidRPr="00AB7B88">
        <w:rPr>
          <w:rStyle w:val="Bodytext"/>
          <w:color w:val="000000"/>
          <w:sz w:val="20"/>
          <w:lang w:val="es-AR" w:eastAsia="es-ES_tradnl"/>
        </w:rPr>
        <w:t>; y iv) una terminal portuaria especializada (la "Terminal Portuaria"), que se construiría en la costa del Uruguay, donde el concentrado que llegaría por el mineroducto se filtraría y almacenaría antes de la exportación</w:t>
      </w:r>
      <w:r w:rsidRPr="00AB7B88">
        <w:rPr>
          <w:rStyle w:val="Bodytext"/>
          <w:color w:val="000000"/>
          <w:sz w:val="20"/>
          <w:vertAlign w:val="superscript"/>
          <w:lang w:eastAsia="es-ES_tradnl"/>
        </w:rPr>
        <w:footnoteReference w:id="20"/>
      </w:r>
      <w:r w:rsidRPr="00AB7B88">
        <w:rPr>
          <w:rStyle w:val="Bodytext"/>
          <w:color w:val="000000"/>
          <w:sz w:val="20"/>
          <w:lang w:val="es-AR" w:eastAsia="es-ES_tradnl"/>
        </w:rPr>
        <w:t>.</w:t>
      </w:r>
    </w:p>
    <w:p w14:paraId="359233B1" w14:textId="77777777" w:rsidR="003B3957" w:rsidRPr="00AB7B88" w:rsidRDefault="003B3957" w:rsidP="000053F7">
      <w:pPr>
        <w:pStyle w:val="Bodytext1"/>
        <w:numPr>
          <w:ilvl w:val="0"/>
          <w:numId w:val="6"/>
        </w:numPr>
        <w:shd w:val="clear" w:color="auto" w:fill="auto"/>
        <w:tabs>
          <w:tab w:val="left" w:pos="738"/>
        </w:tabs>
        <w:spacing w:before="380" w:line="360" w:lineRule="auto"/>
        <w:ind w:left="522" w:hanging="522"/>
        <w:jc w:val="both"/>
        <w:rPr>
          <w:sz w:val="20"/>
          <w:lang w:val="es-AR"/>
        </w:rPr>
      </w:pPr>
      <w:r w:rsidRPr="00AB7B88">
        <w:rPr>
          <w:rStyle w:val="Bodytext"/>
          <w:color w:val="000000"/>
          <w:sz w:val="20"/>
          <w:lang w:val="es-AR" w:eastAsia="es-ES_tradnl"/>
        </w:rPr>
        <w:t>En el DFS se realizó también una evaluación financiera del Proyecto Valentines con el empleo de un modelo de flujos de caja descontados sobre la base de estimaciones de costes de capital y operativos, costes de minería y el cronograma de producción. Las situaciones hipotéticas descritas para los fines de la evaluación de la inversión oscilaron entre un valor presente neto después de impuestos</w:t>
      </w:r>
      <w:r w:rsidR="00604E97" w:rsidRPr="00AB7B88">
        <w:rPr>
          <w:sz w:val="20"/>
          <w:lang w:val="es-AR"/>
        </w:rPr>
        <w:t xml:space="preserve"> </w:t>
      </w:r>
      <w:r w:rsidRPr="00AB7B88">
        <w:rPr>
          <w:rStyle w:val="Bodytext"/>
          <w:color w:val="000000"/>
          <w:sz w:val="20"/>
          <w:lang w:val="es-AR" w:eastAsia="es-ES_tradnl"/>
        </w:rPr>
        <w:t>de USD 3.011 millones y USD 6.055 millones</w:t>
      </w:r>
      <w:r w:rsidRPr="00AB7B88">
        <w:rPr>
          <w:rStyle w:val="Bodytext"/>
          <w:color w:val="000000"/>
          <w:sz w:val="20"/>
          <w:vertAlign w:val="superscript"/>
          <w:lang w:eastAsia="es-ES_tradnl"/>
        </w:rPr>
        <w:footnoteReference w:id="21"/>
      </w:r>
      <w:r w:rsidRPr="00AB7B88">
        <w:rPr>
          <w:rStyle w:val="Bodytext"/>
          <w:color w:val="000000"/>
          <w:sz w:val="20"/>
          <w:lang w:val="es-AR" w:eastAsia="es-ES_tradnl"/>
        </w:rPr>
        <w:t>.</w:t>
      </w:r>
    </w:p>
    <w:p w14:paraId="44D5EE1C"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lastRenderedPageBreak/>
        <w:t>En el cronograma para la finalización del Proyecto Valentines, conforme se esboza en el DFS, se previó una serie de hitos, que comenzaban con las primeras obras en mayo de 2011 y culminaban con un aumento de la producción al 100% de la capacidad instalada en marzo de 2015</w:t>
      </w:r>
      <w:r w:rsidRPr="00AB7B88">
        <w:rPr>
          <w:rStyle w:val="Bodytext"/>
          <w:color w:val="000000"/>
          <w:sz w:val="20"/>
          <w:vertAlign w:val="superscript"/>
          <w:lang w:eastAsia="es-ES_tradnl"/>
        </w:rPr>
        <w:footnoteReference w:id="22"/>
      </w:r>
      <w:r w:rsidRPr="00AB7B88">
        <w:rPr>
          <w:rStyle w:val="Bodytext"/>
          <w:color w:val="000000"/>
          <w:sz w:val="20"/>
          <w:lang w:val="es-AR" w:eastAsia="es-ES_tradnl"/>
        </w:rPr>
        <w:t>.</w:t>
      </w:r>
    </w:p>
    <w:p w14:paraId="5E1C75B9"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La obtención de financiación era uno de los elementos centrales para el desarrollo pleno del Proyecto Valentines</w:t>
      </w:r>
      <w:r w:rsidRPr="00AB7B88">
        <w:rPr>
          <w:rStyle w:val="Bodytext"/>
          <w:color w:val="000000"/>
          <w:sz w:val="20"/>
          <w:vertAlign w:val="superscript"/>
          <w:lang w:eastAsia="es-ES_tradnl"/>
        </w:rPr>
        <w:footnoteReference w:id="23"/>
      </w:r>
      <w:r w:rsidRPr="00AB7B88">
        <w:rPr>
          <w:rStyle w:val="Bodytext"/>
          <w:color w:val="000000"/>
          <w:sz w:val="20"/>
          <w:lang w:val="es-AR" w:eastAsia="es-ES_tradnl"/>
        </w:rPr>
        <w:t>. En el DFS, que representaba una condición preliminar para captar a posibles inversores, se preveía que, en septiembre de 2011, se lograría la financiación necesaria para el Proyecto</w:t>
      </w:r>
      <w:r w:rsidRPr="00AB7B88">
        <w:rPr>
          <w:rStyle w:val="Bodytext"/>
          <w:color w:val="000000"/>
          <w:sz w:val="20"/>
          <w:vertAlign w:val="superscript"/>
          <w:lang w:eastAsia="es-ES_tradnl"/>
        </w:rPr>
        <w:footnoteReference w:id="24"/>
      </w:r>
      <w:r w:rsidRPr="00AB7B88">
        <w:rPr>
          <w:rStyle w:val="Bodytext"/>
          <w:color w:val="000000"/>
          <w:sz w:val="20"/>
          <w:lang w:val="es-AR" w:eastAsia="es-ES_tradnl"/>
        </w:rPr>
        <w:t>. Minera Aratirí formó un equipo específico para los fines de obtener financiación para el Proyecto Valentines, encabezado por el Sr. Agarwal</w:t>
      </w:r>
      <w:r w:rsidRPr="00AB7B88">
        <w:rPr>
          <w:rStyle w:val="Bodytext"/>
          <w:color w:val="000000"/>
          <w:sz w:val="20"/>
          <w:vertAlign w:val="superscript"/>
          <w:lang w:eastAsia="es-ES_tradnl"/>
        </w:rPr>
        <w:footnoteReference w:id="25"/>
      </w:r>
      <w:r w:rsidRPr="00AB7B88">
        <w:rPr>
          <w:rStyle w:val="Bodytext"/>
          <w:color w:val="000000"/>
          <w:sz w:val="20"/>
          <w:lang w:val="es-AR" w:eastAsia="es-ES_tradnl"/>
        </w:rPr>
        <w:t>. El Proyecto luego se promocionó a una gama variada de posibles inversores</w:t>
      </w:r>
      <w:r w:rsidRPr="00AB7B88">
        <w:rPr>
          <w:rStyle w:val="Bodytext"/>
          <w:color w:val="000000"/>
          <w:sz w:val="20"/>
          <w:vertAlign w:val="superscript"/>
          <w:lang w:eastAsia="es-ES_tradnl"/>
        </w:rPr>
        <w:footnoteReference w:id="26"/>
      </w:r>
      <w:r w:rsidRPr="00AB7B88">
        <w:rPr>
          <w:rStyle w:val="Bodytext"/>
          <w:color w:val="000000"/>
          <w:sz w:val="20"/>
          <w:lang w:val="es-AR" w:eastAsia="es-ES_tradnl"/>
        </w:rPr>
        <w:t>.</w:t>
      </w:r>
    </w:p>
    <w:p w14:paraId="04DD13FA" w14:textId="77777777" w:rsidR="003B3957" w:rsidRPr="00AB7B88" w:rsidRDefault="003B3957" w:rsidP="00A33B7A">
      <w:pPr>
        <w:pStyle w:val="Heading20"/>
        <w:keepNext/>
        <w:keepLines/>
        <w:numPr>
          <w:ilvl w:val="0"/>
          <w:numId w:val="8"/>
        </w:numPr>
        <w:shd w:val="clear" w:color="auto" w:fill="auto"/>
        <w:tabs>
          <w:tab w:val="left" w:pos="425"/>
        </w:tabs>
        <w:spacing w:before="380" w:after="0" w:line="360" w:lineRule="auto"/>
        <w:ind w:firstLine="0"/>
        <w:rPr>
          <w:rFonts w:ascii="Times New Roman" w:hAnsi="Times New Roman"/>
          <w:b w:val="0"/>
          <w:sz w:val="20"/>
          <w:lang w:val="es-AR"/>
        </w:rPr>
      </w:pPr>
      <w:bookmarkStart w:id="43" w:name="bookmark48"/>
      <w:bookmarkStart w:id="44" w:name="bookmark49"/>
      <w:r w:rsidRPr="00AB7B88">
        <w:rPr>
          <w:rStyle w:val="Heading2"/>
          <w:rFonts w:ascii="Times New Roman" w:hAnsi="Times New Roman"/>
          <w:b/>
          <w:color w:val="000000"/>
          <w:sz w:val="20"/>
          <w:lang w:val="es-AR" w:eastAsia="es-ES_tradnl"/>
        </w:rPr>
        <w:t>Primeras consultas entre Minera Aratirí y el Gobierno de Uruguay</w:t>
      </w:r>
      <w:bookmarkEnd w:id="43"/>
      <w:bookmarkEnd w:id="44"/>
    </w:p>
    <w:p w14:paraId="30540229"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Entre 2009 y 2010, una serie representantes de Minera Aratirí y del Gobierno de Uruguay se reunieron periódicamente para negociar las condiciones de un memorando de entendimiento (el "Memorando de Entendimiento")</w:t>
      </w:r>
      <w:r w:rsidRPr="00AB7B88">
        <w:rPr>
          <w:rStyle w:val="Bodytext"/>
          <w:color w:val="000000"/>
          <w:sz w:val="20"/>
          <w:vertAlign w:val="superscript"/>
          <w:lang w:eastAsia="es-ES_tradnl"/>
        </w:rPr>
        <w:footnoteReference w:id="27"/>
      </w:r>
      <w:r w:rsidRPr="00AB7B88">
        <w:rPr>
          <w:rStyle w:val="Bodytext"/>
          <w:color w:val="000000"/>
          <w:sz w:val="20"/>
          <w:lang w:val="es-AR" w:eastAsia="es-ES_tradnl"/>
        </w:rPr>
        <w:t>. En los borradores iniciales del Memorando de Entendimiento se abordaron toda una gama de cuestiones que guardaban relación con el Proyecto Valentines, tal como las condiciones específicas según las cuales se realizarían las actividades de prospección y exploración, los beneficios fiscales deseados, la ubicación de la Terminal Portuaria y otras consideraciones de logistica e infraestructura</w:t>
      </w:r>
      <w:r w:rsidRPr="00AB7B88">
        <w:rPr>
          <w:rStyle w:val="Bodytext"/>
          <w:color w:val="000000"/>
          <w:sz w:val="20"/>
          <w:vertAlign w:val="superscript"/>
          <w:lang w:eastAsia="es-ES_tradnl"/>
        </w:rPr>
        <w:footnoteReference w:id="28"/>
      </w:r>
      <w:r w:rsidRPr="00AB7B88">
        <w:rPr>
          <w:rStyle w:val="Bodytext"/>
          <w:color w:val="000000"/>
          <w:sz w:val="20"/>
          <w:lang w:val="es-AR" w:eastAsia="es-ES_tradnl"/>
        </w:rPr>
        <w:t>.</w:t>
      </w:r>
    </w:p>
    <w:p w14:paraId="21E3BC68"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 xml:space="preserve">Una vez finalizado el PFS en abril de 2010 y tras la elección de José Mujica como presidente, las Partes siguieron negociando las condiciones del Memorando de Entendimiento en forma de un contrato de inversión </w:t>
      </w:r>
      <w:r w:rsidRPr="00AB7B88">
        <w:rPr>
          <w:rStyle w:val="Bodytext"/>
          <w:color w:val="000000"/>
          <w:sz w:val="20"/>
          <w:lang w:val="es-AR" w:eastAsia="es-ES_tradnl"/>
        </w:rPr>
        <w:lastRenderedPageBreak/>
        <w:t>más detallado</w:t>
      </w:r>
      <w:r w:rsidRPr="00AB7B88">
        <w:rPr>
          <w:rStyle w:val="Bodytext"/>
          <w:color w:val="000000"/>
          <w:sz w:val="20"/>
          <w:vertAlign w:val="superscript"/>
          <w:lang w:eastAsia="es-ES_tradnl"/>
        </w:rPr>
        <w:footnoteReference w:id="29"/>
      </w:r>
      <w:r w:rsidRPr="00AB7B88">
        <w:rPr>
          <w:rStyle w:val="Bodytext"/>
          <w:color w:val="000000"/>
          <w:sz w:val="20"/>
          <w:lang w:val="es-AR" w:eastAsia="es-ES_tradnl"/>
        </w:rPr>
        <w:t>.</w:t>
      </w:r>
    </w:p>
    <w:p w14:paraId="38BFAFA2"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Mientras Minera Aratirí tomaba medidas respecto de las actividades de exploración en el área de Valentines, el 26 de mayo de 2011 la empresa se reunió con el Gobierno de Uruguay. Entre otras cosas, las Partes acordaron entonces intentar llegar a un acuerdo para concluir un contrato de inversión antes de finales de junio de 2011</w:t>
      </w:r>
      <w:r w:rsidRPr="00AB7B88">
        <w:rPr>
          <w:rStyle w:val="Bodytext"/>
          <w:color w:val="000000"/>
          <w:sz w:val="20"/>
          <w:vertAlign w:val="superscript"/>
          <w:lang w:eastAsia="es-ES_tradnl"/>
        </w:rPr>
        <w:footnoteReference w:id="30"/>
      </w:r>
      <w:r w:rsidRPr="00AB7B88">
        <w:rPr>
          <w:rStyle w:val="Bodytext"/>
          <w:color w:val="000000"/>
          <w:sz w:val="20"/>
          <w:lang w:val="es-AR" w:eastAsia="es-ES_tradnl"/>
        </w:rPr>
        <w:t>. Sin embargo, el contrato no se celebró dentro del plazo mencionado</w:t>
      </w:r>
      <w:r w:rsidRPr="00AB7B88">
        <w:rPr>
          <w:rStyle w:val="Bodytext"/>
          <w:color w:val="000000"/>
          <w:sz w:val="20"/>
          <w:vertAlign w:val="superscript"/>
          <w:lang w:eastAsia="es-ES_tradnl"/>
        </w:rPr>
        <w:footnoteReference w:id="31"/>
      </w:r>
      <w:r w:rsidRPr="00AB7B88">
        <w:rPr>
          <w:rStyle w:val="Bodytext"/>
          <w:color w:val="000000"/>
          <w:sz w:val="20"/>
          <w:lang w:val="es-AR" w:eastAsia="es-ES_tradnl"/>
        </w:rPr>
        <w:t>. Según la Demandada, las negociaciones en tomo al contrato de inversión se "prolongaron" y finalmente se "pausaron" una vez que se volvió evidente que Uruguay necesitaba examinar su legislación minera y tributaria</w:t>
      </w:r>
      <w:r w:rsidRPr="00AB7B88">
        <w:rPr>
          <w:rStyle w:val="Bodytext"/>
          <w:color w:val="000000"/>
          <w:sz w:val="20"/>
          <w:vertAlign w:val="superscript"/>
          <w:lang w:eastAsia="es-ES_tradnl"/>
        </w:rPr>
        <w:footnoteReference w:id="32"/>
      </w:r>
      <w:r w:rsidRPr="00AB7B88">
        <w:rPr>
          <w:rStyle w:val="Bodytext"/>
          <w:color w:val="000000"/>
          <w:sz w:val="20"/>
          <w:lang w:val="es-AR" w:eastAsia="es-ES_tradnl"/>
        </w:rPr>
        <w:t>. A su vez, los Demandantes suponían que el contrato de inversión se firmaría de inmediato, y sostenían que "todas las indicaciones extemas apuntaban a que el Gobierno seguía estando plenamente comprometido con el Proyecto Valentines</w:t>
      </w:r>
      <w:r w:rsidRPr="00AB7B88">
        <w:rPr>
          <w:rStyle w:val="Bodytext"/>
          <w:color w:val="000000"/>
          <w:sz w:val="20"/>
          <w:vertAlign w:val="superscript"/>
          <w:lang w:eastAsia="es-ES_tradnl"/>
        </w:rPr>
        <w:footnoteReference w:id="33"/>
      </w:r>
      <w:r w:rsidRPr="00AB7B88">
        <w:rPr>
          <w:rStyle w:val="Bodytext"/>
          <w:color w:val="000000"/>
          <w:sz w:val="20"/>
          <w:lang w:val="es-AR" w:eastAsia="es-ES_tradnl"/>
        </w:rPr>
        <w:t>".</w:t>
      </w:r>
    </w:p>
    <w:p w14:paraId="2CC1A921" w14:textId="77777777" w:rsidR="003B3957" w:rsidRPr="00AB7B88" w:rsidRDefault="003B3957" w:rsidP="000053F7">
      <w:pPr>
        <w:pStyle w:val="Bodytext30"/>
        <w:widowControl w:val="0"/>
        <w:numPr>
          <w:ilvl w:val="0"/>
          <w:numId w:val="65"/>
        </w:numPr>
        <w:shd w:val="clear" w:color="auto" w:fill="auto"/>
        <w:tabs>
          <w:tab w:val="left" w:pos="340"/>
        </w:tabs>
        <w:spacing w:before="380" w:after="0" w:line="360" w:lineRule="auto"/>
        <w:jc w:val="both"/>
        <w:rPr>
          <w:sz w:val="20"/>
          <w:lang w:val="es-AR"/>
        </w:rPr>
      </w:pPr>
      <w:bookmarkStart w:id="45" w:name="bookmark50"/>
      <w:bookmarkStart w:id="46" w:name="bookmark51"/>
      <w:r w:rsidRPr="00AB7B88">
        <w:rPr>
          <w:rStyle w:val="Heading2"/>
          <w:rFonts w:ascii="Times New Roman" w:hAnsi="Times New Roman"/>
          <w:color w:val="000000"/>
          <w:sz w:val="20"/>
          <w:lang w:val="es-AR" w:eastAsia="es-ES_tradnl"/>
        </w:rPr>
        <w:t>Solicitudes para una concesión de explotación, beneficios fiscales, concesión del álvelo y autorización ambiental</w:t>
      </w:r>
      <w:bookmarkEnd w:id="45"/>
      <w:bookmarkEnd w:id="46"/>
    </w:p>
    <w:p w14:paraId="1C821136"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En el curso del año 201 1, Minera Aratirí presentó varias solicitudes al Gobierno de Uruguay en respaldo del Proyecto Valentines</w:t>
      </w:r>
      <w:r w:rsidRPr="00AB7B88">
        <w:rPr>
          <w:rStyle w:val="Bodytext"/>
          <w:color w:val="000000"/>
          <w:sz w:val="20"/>
          <w:vertAlign w:val="superscript"/>
          <w:lang w:eastAsia="es-ES_tradnl"/>
        </w:rPr>
        <w:footnoteReference w:id="34"/>
      </w:r>
      <w:r w:rsidRPr="00AB7B88">
        <w:rPr>
          <w:rStyle w:val="Bodytext"/>
          <w:color w:val="000000"/>
          <w:sz w:val="20"/>
          <w:lang w:val="es-AR" w:eastAsia="es-ES_tradnl"/>
        </w:rPr>
        <w:t>. Conforme se describe a continuación, no es objeto de controversia que el Gobierno de Uruguay nunca aprobó esas solicitudes</w:t>
      </w:r>
      <w:r w:rsidRPr="00AB7B88">
        <w:rPr>
          <w:rStyle w:val="Bodytext"/>
          <w:color w:val="000000"/>
          <w:sz w:val="20"/>
          <w:vertAlign w:val="superscript"/>
          <w:lang w:eastAsia="es-ES_tradnl"/>
        </w:rPr>
        <w:footnoteReference w:id="35"/>
      </w:r>
      <w:r w:rsidRPr="00AB7B88">
        <w:rPr>
          <w:rStyle w:val="Bodytext"/>
          <w:color w:val="000000"/>
          <w:sz w:val="20"/>
          <w:lang w:val="es-AR" w:eastAsia="es-ES_tradnl"/>
        </w:rPr>
        <w:t>.</w:t>
      </w:r>
    </w:p>
    <w:p w14:paraId="44DAFD43"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 xml:space="preserve">Los Demandantes sostienen que las demoras con respeto a todas las solicitudes de permisos de Minera Aratirí eran parte de una estrategia más amplia del Gobierno de Uruguay para expropiar el valor del Proyecto </w:t>
      </w:r>
      <w:r w:rsidRPr="00AB7B88">
        <w:rPr>
          <w:rStyle w:val="Bodytext"/>
          <w:color w:val="000000"/>
          <w:sz w:val="20"/>
          <w:lang w:val="es-AR" w:eastAsia="es-ES_tradnl"/>
        </w:rPr>
        <w:lastRenderedPageBreak/>
        <w:t>Valentines mediante una intransigencia burocrática</w:t>
      </w:r>
      <w:r w:rsidRPr="00AB7B88">
        <w:rPr>
          <w:rStyle w:val="Bodytext"/>
          <w:color w:val="000000"/>
          <w:sz w:val="20"/>
          <w:vertAlign w:val="superscript"/>
          <w:lang w:eastAsia="es-ES_tradnl"/>
        </w:rPr>
        <w:footnoteReference w:id="36"/>
      </w:r>
      <w:r w:rsidRPr="00AB7B88">
        <w:rPr>
          <w:rStyle w:val="Bodytext"/>
          <w:color w:val="000000"/>
          <w:sz w:val="20"/>
          <w:lang w:val="es-AR" w:eastAsia="es-ES_tradnl"/>
        </w:rPr>
        <w:t>, en un intento coordinado por "demorar y conseguir tiempo" hasta la entrada en vigor en 2013 de la Ley No. 19.126 que regía la actividad de la minería de gran porte (la "Ley de Minería de Gran Porte"), una ley que estaba "focalizada exclusivamente en la Minera Aratirí y el Proyecto Valentines</w:t>
      </w:r>
      <w:r w:rsidRPr="00AB7B88">
        <w:rPr>
          <w:rStyle w:val="Bodytext"/>
          <w:color w:val="000000"/>
          <w:sz w:val="20"/>
          <w:vertAlign w:val="superscript"/>
          <w:lang w:eastAsia="es-ES_tradnl"/>
        </w:rPr>
        <w:footnoteReference w:id="37"/>
      </w:r>
      <w:r w:rsidRPr="00AB7B88">
        <w:rPr>
          <w:rStyle w:val="Bodytext"/>
          <w:color w:val="000000"/>
          <w:sz w:val="20"/>
          <w:lang w:val="es-AR" w:eastAsia="es-ES_tradnl"/>
        </w:rPr>
        <w:t>". La Demandada niega esta alegación y postula que dio todo su apoyo al Proyecto Valentines con la esperanza de verlo triunfar</w:t>
      </w:r>
      <w:r w:rsidRPr="00AB7B88">
        <w:rPr>
          <w:rStyle w:val="Bodytext"/>
          <w:color w:val="000000"/>
          <w:sz w:val="20"/>
          <w:vertAlign w:val="superscript"/>
          <w:lang w:eastAsia="es-ES_tradnl"/>
        </w:rPr>
        <w:footnoteReference w:id="38"/>
      </w:r>
      <w:r w:rsidRPr="00AB7B88">
        <w:rPr>
          <w:rStyle w:val="Bodytext"/>
          <w:color w:val="000000"/>
          <w:sz w:val="20"/>
          <w:lang w:val="es-AR" w:eastAsia="es-ES_tradnl"/>
        </w:rPr>
        <w:t>.</w:t>
      </w:r>
    </w:p>
    <w:p w14:paraId="2032D978" w14:textId="77777777" w:rsidR="003B3957" w:rsidRPr="00AB7B88" w:rsidRDefault="003B3957" w:rsidP="00C64AB4">
      <w:pPr>
        <w:pStyle w:val="Heading20"/>
        <w:keepNext/>
        <w:keepLines/>
        <w:numPr>
          <w:ilvl w:val="0"/>
          <w:numId w:val="69"/>
        </w:numPr>
        <w:shd w:val="clear" w:color="auto" w:fill="auto"/>
        <w:tabs>
          <w:tab w:val="left" w:pos="425"/>
        </w:tabs>
        <w:spacing w:before="380" w:after="0" w:line="360" w:lineRule="auto"/>
        <w:rPr>
          <w:rFonts w:ascii="Times New Roman" w:hAnsi="Times New Roman"/>
          <w:b w:val="0"/>
          <w:sz w:val="20"/>
        </w:rPr>
      </w:pPr>
      <w:bookmarkStart w:id="47" w:name="bookmark52"/>
      <w:bookmarkStart w:id="48" w:name="bookmark53"/>
      <w:r w:rsidRPr="00AB7B88">
        <w:rPr>
          <w:rStyle w:val="Heading2"/>
          <w:rFonts w:ascii="Times New Roman" w:hAnsi="Times New Roman"/>
          <w:b/>
          <w:color w:val="000000"/>
          <w:sz w:val="20"/>
          <w:lang w:eastAsia="es-ES_tradnl"/>
        </w:rPr>
        <w:t>Concesión para explotar</w:t>
      </w:r>
      <w:bookmarkEnd w:id="47"/>
      <w:bookmarkEnd w:id="48"/>
    </w:p>
    <w:p w14:paraId="59CD9A2C"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Entre junio de 2010 y octubre de 2012, Minera Aratirí presentó, por medio de diferentes filiales, un</w:t>
      </w:r>
      <w:r w:rsidR="00431C2B" w:rsidRPr="00AB7B88">
        <w:rPr>
          <w:sz w:val="20"/>
          <w:lang w:val="es-AR"/>
        </w:rPr>
        <w:t xml:space="preserve"> </w:t>
      </w:r>
      <w:r w:rsidRPr="00AB7B88">
        <w:rPr>
          <w:rStyle w:val="Bodytext"/>
          <w:color w:val="000000"/>
          <w:sz w:val="20"/>
          <w:lang w:val="es-AR" w:eastAsia="es-ES_tradnl"/>
        </w:rPr>
        <w:t>total de 16 solicitudes de concesiones para explotar varias áreas donde había realizado previamente actividades de prospección y exploración (las "Solicitudes Parciales para Explotar")</w:t>
      </w:r>
      <w:r w:rsidRPr="00AB7B88">
        <w:rPr>
          <w:rStyle w:val="Bodytext"/>
          <w:color w:val="000000"/>
          <w:sz w:val="20"/>
          <w:vertAlign w:val="superscript"/>
          <w:lang w:eastAsia="es-ES_tradnl"/>
        </w:rPr>
        <w:footnoteReference w:id="39"/>
      </w:r>
      <w:r w:rsidRPr="00AB7B88">
        <w:rPr>
          <w:rStyle w:val="Bodytext"/>
          <w:color w:val="000000"/>
          <w:sz w:val="20"/>
          <w:lang w:val="es-AR" w:eastAsia="es-ES_tradnl"/>
        </w:rPr>
        <w:t>. Por otra parte, el 3 de octubre de 2011, Minera Aratirí presentó una solicitud ante la Dirección Nacional de Minería y Geología (DINAMIGE) respecto de las cinco minas que estaba planeando explotar y la infraestructura asociada del Proyecto Valentines (la "Solicitud de octubre de 2011")</w:t>
      </w:r>
      <w:r w:rsidRPr="00AB7B88">
        <w:rPr>
          <w:rStyle w:val="Bodytext"/>
          <w:color w:val="000000"/>
          <w:sz w:val="20"/>
          <w:vertAlign w:val="superscript"/>
          <w:lang w:eastAsia="es-ES_tradnl"/>
        </w:rPr>
        <w:footnoteReference w:id="40"/>
      </w:r>
      <w:r w:rsidRPr="00AB7B88">
        <w:rPr>
          <w:rStyle w:val="Bodytext"/>
          <w:color w:val="000000"/>
          <w:sz w:val="20"/>
          <w:lang w:val="es-AR" w:eastAsia="es-ES_tradnl"/>
        </w:rPr>
        <w:t>. Mediante la solicitud de octubre de 2011 se pretendía obtener la autorización del Poder Ejecutivo para que las Solicitudes Parciales para Explotar se consolidasen como pertenecientes a una sola área minera, fundamentado esto en que el Proyecto Valentines se debía tratar como una unidad total</w:t>
      </w:r>
      <w:r w:rsidRPr="00AB7B88">
        <w:rPr>
          <w:rStyle w:val="Bodytext"/>
          <w:color w:val="000000"/>
          <w:sz w:val="20"/>
          <w:vertAlign w:val="superscript"/>
          <w:lang w:eastAsia="es-ES_tradnl"/>
        </w:rPr>
        <w:footnoteReference w:id="41"/>
      </w:r>
      <w:r w:rsidRPr="00AB7B88">
        <w:rPr>
          <w:rStyle w:val="Bodytext"/>
          <w:color w:val="000000"/>
          <w:sz w:val="20"/>
          <w:lang w:val="es-AR" w:eastAsia="es-ES_tradnl"/>
        </w:rPr>
        <w:t>. Las Partes discrepan sobre si la solicitud de octubre de 2011 era permisible en virtud del marco legal en vigor en ese momento</w:t>
      </w:r>
      <w:r w:rsidRPr="00AB7B88">
        <w:rPr>
          <w:rStyle w:val="Bodytext"/>
          <w:color w:val="000000"/>
          <w:sz w:val="20"/>
          <w:vertAlign w:val="superscript"/>
          <w:lang w:eastAsia="es-ES_tradnl"/>
        </w:rPr>
        <w:footnoteReference w:id="42"/>
      </w:r>
      <w:r w:rsidRPr="00AB7B88">
        <w:rPr>
          <w:rStyle w:val="Bodytext"/>
          <w:color w:val="000000"/>
          <w:sz w:val="20"/>
          <w:lang w:val="es-AR" w:eastAsia="es-ES_tradnl"/>
        </w:rPr>
        <w:t>. Asimismo, Minera Aratirí solicitó derechos de acceso a los terrenos adyacentes a las minas, con la idea de instalar la planta de beneficiamiento, el mineroducto y la Terminal Portuaria</w:t>
      </w:r>
      <w:r w:rsidRPr="00AB7B88">
        <w:rPr>
          <w:rStyle w:val="Bodytext"/>
          <w:color w:val="000000"/>
          <w:sz w:val="20"/>
          <w:vertAlign w:val="superscript"/>
          <w:lang w:eastAsia="es-ES_tradnl"/>
        </w:rPr>
        <w:footnoteReference w:id="43"/>
      </w:r>
      <w:r w:rsidRPr="00AB7B88">
        <w:rPr>
          <w:rStyle w:val="Bodytext"/>
          <w:color w:val="000000"/>
          <w:sz w:val="20"/>
          <w:lang w:val="es-AR" w:eastAsia="es-ES_tradnl"/>
        </w:rPr>
        <w:t>.</w:t>
      </w:r>
    </w:p>
    <w:p w14:paraId="3FA0720F"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Mientras aún seguía pendiente la resolución de estas presentaciones y solicitud</w:t>
      </w:r>
      <w:r w:rsidRPr="00AB7B88">
        <w:rPr>
          <w:rStyle w:val="Bodytext"/>
          <w:color w:val="000000"/>
          <w:sz w:val="20"/>
          <w:vertAlign w:val="superscript"/>
          <w:lang w:eastAsia="es-ES_tradnl"/>
        </w:rPr>
        <w:footnoteReference w:id="44"/>
      </w:r>
      <w:r w:rsidRPr="00AB7B88">
        <w:rPr>
          <w:rStyle w:val="Bodytext"/>
          <w:color w:val="000000"/>
          <w:sz w:val="20"/>
          <w:lang w:val="es-AR" w:eastAsia="es-ES_tradnl"/>
        </w:rPr>
        <w:t xml:space="preserve">, y tras un proceso de deliberación prolongado entre el Poder Ejecutivo y los principales partidos políticos del Uruguay que culminó </w:t>
      </w:r>
      <w:r w:rsidRPr="00AB7B88">
        <w:rPr>
          <w:rStyle w:val="Bodytext"/>
          <w:color w:val="000000"/>
          <w:sz w:val="20"/>
          <w:lang w:val="es-AR" w:eastAsia="es-ES_tradnl"/>
        </w:rPr>
        <w:lastRenderedPageBreak/>
        <w:t>en el Documento de Acuerdo del 22 de diciembre de 2011 (el "Documento de Acuerdo")</w:t>
      </w:r>
      <w:r w:rsidRPr="00AB7B88">
        <w:rPr>
          <w:rStyle w:val="Bodytext"/>
          <w:color w:val="000000"/>
          <w:sz w:val="20"/>
          <w:vertAlign w:val="superscript"/>
          <w:lang w:eastAsia="es-ES_tradnl"/>
        </w:rPr>
        <w:footnoteReference w:id="45"/>
      </w:r>
      <w:r w:rsidRPr="00AB7B88">
        <w:rPr>
          <w:rStyle w:val="Bodytext"/>
          <w:color w:val="000000"/>
          <w:sz w:val="20"/>
          <w:lang w:val="es-AR" w:eastAsia="es-ES_tradnl"/>
        </w:rPr>
        <w:t>, el 5 de octubre de 2013, Uruguay promulgó la Ley de Minería de Gran Porte</w:t>
      </w:r>
      <w:r w:rsidRPr="00AB7B88">
        <w:rPr>
          <w:rStyle w:val="Bodytext"/>
          <w:color w:val="000000"/>
          <w:sz w:val="20"/>
          <w:vertAlign w:val="superscript"/>
          <w:lang w:eastAsia="es-ES_tradnl"/>
        </w:rPr>
        <w:footnoteReference w:id="46"/>
      </w:r>
      <w:r w:rsidRPr="00AB7B88">
        <w:rPr>
          <w:rStyle w:val="Bodytext"/>
          <w:color w:val="000000"/>
          <w:sz w:val="20"/>
          <w:lang w:val="es-AR" w:eastAsia="es-ES_tradnl"/>
        </w:rPr>
        <w:t>, mediante la cual se estableció un régimen especial para los proyectos de minería de gran porte respecto del régimen general dispuesto en el Código de Minería establecido en 1982 mediante la Ley No. 15.242 (el "Código de Minería")</w:t>
      </w:r>
      <w:r w:rsidRPr="00AB7B88">
        <w:rPr>
          <w:rStyle w:val="Bodytext"/>
          <w:color w:val="000000"/>
          <w:sz w:val="20"/>
          <w:vertAlign w:val="superscript"/>
          <w:lang w:eastAsia="es-ES_tradnl"/>
        </w:rPr>
        <w:footnoteReference w:id="47"/>
      </w:r>
      <w:r w:rsidRPr="00AB7B88">
        <w:rPr>
          <w:rStyle w:val="Bodytext"/>
          <w:color w:val="000000"/>
          <w:sz w:val="20"/>
          <w:lang w:val="es-AR" w:eastAsia="es-ES_tradnl"/>
        </w:rPr>
        <w:t>.</w:t>
      </w:r>
    </w:p>
    <w:p w14:paraId="09448EC2"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El 22 de noviembre de 2013, Minera Aratirí presentó una solicitud de concesión para explotar conforme a la Ley de Minería de Gran Porte, la cual reemplazaría las Solicitudes Parciales para Explotar y la solicitud de octubre de 2011</w:t>
      </w:r>
      <w:r w:rsidRPr="00AB7B88">
        <w:rPr>
          <w:rStyle w:val="Bodytext"/>
          <w:color w:val="000000"/>
          <w:sz w:val="20"/>
          <w:vertAlign w:val="superscript"/>
          <w:lang w:eastAsia="es-ES_tradnl"/>
        </w:rPr>
        <w:footnoteReference w:id="48"/>
      </w:r>
      <w:r w:rsidRPr="00AB7B88">
        <w:rPr>
          <w:rStyle w:val="Bodytext"/>
          <w:color w:val="000000"/>
          <w:sz w:val="20"/>
          <w:lang w:val="es-AR" w:eastAsia="es-ES_tradnl"/>
        </w:rPr>
        <w:t>. Tras el reconocimiento oficial del Proyecto Valentines como un proyecto de minería de gran porte, debían comenzar las negociaciones de un contrato de concesión de este tipo conforme a la nueva Ley de Minería de Gran Porte</w:t>
      </w:r>
      <w:r w:rsidRPr="00AB7B88">
        <w:rPr>
          <w:rStyle w:val="Bodytext"/>
          <w:color w:val="000000"/>
          <w:sz w:val="20"/>
          <w:vertAlign w:val="superscript"/>
          <w:lang w:eastAsia="es-ES_tradnl"/>
        </w:rPr>
        <w:footnoteReference w:id="49"/>
      </w:r>
      <w:r w:rsidRPr="00AB7B88">
        <w:rPr>
          <w:rStyle w:val="Bodytext"/>
          <w:color w:val="000000"/>
          <w:sz w:val="20"/>
          <w:lang w:val="es-AR" w:eastAsia="es-ES_tradnl"/>
        </w:rPr>
        <w:t xml:space="preserve"> (el "Contrato de Concesión") por un plazo inicial de 360 días (es decir, hasta el 29 de noviembre de 2014),</w:t>
      </w:r>
      <w:r w:rsidRPr="00AB7B88">
        <w:rPr>
          <w:rStyle w:val="Bodytext"/>
          <w:color w:val="000000"/>
          <w:sz w:val="20"/>
          <w:vertAlign w:val="superscript"/>
          <w:lang w:eastAsia="es-ES_tradnl"/>
        </w:rPr>
        <w:footnoteReference w:id="50"/>
      </w:r>
      <w:r w:rsidRPr="00AB7B88">
        <w:rPr>
          <w:rStyle w:val="Bodytext"/>
          <w:color w:val="000000"/>
          <w:sz w:val="20"/>
          <w:lang w:val="es-AR" w:eastAsia="es-ES_tradnl"/>
        </w:rPr>
        <w:t xml:space="preserve"> que luego fue prorrogado otros 360 días por el Gobierno de Uruguay (es decir, hasta el 24 de noviembre de 2015)</w:t>
      </w:r>
      <w:r w:rsidRPr="00AB7B88">
        <w:rPr>
          <w:rStyle w:val="Bodytext"/>
          <w:color w:val="000000"/>
          <w:sz w:val="20"/>
          <w:vertAlign w:val="superscript"/>
          <w:lang w:eastAsia="es-ES_tradnl"/>
        </w:rPr>
        <w:footnoteReference w:id="51"/>
      </w:r>
      <w:r w:rsidRPr="00AB7B88">
        <w:rPr>
          <w:rStyle w:val="Bodytext"/>
          <w:color w:val="000000"/>
          <w:sz w:val="20"/>
          <w:lang w:val="es-AR" w:eastAsia="es-ES_tradnl"/>
        </w:rPr>
        <w:t>. Estas conversaciones se centraron, principalmente, en la capacidad de Minera Aratirí para obtener garantías ambientales y contractuales conforme se estipulaba en la Ley de Minería de Gran Porte</w:t>
      </w:r>
      <w:r w:rsidRPr="00AB7B88">
        <w:rPr>
          <w:rStyle w:val="Bodytext"/>
          <w:color w:val="000000"/>
          <w:sz w:val="20"/>
          <w:vertAlign w:val="superscript"/>
          <w:lang w:eastAsia="es-ES_tradnl"/>
        </w:rPr>
        <w:footnoteReference w:id="52"/>
      </w:r>
      <w:r w:rsidRPr="00AB7B88">
        <w:rPr>
          <w:rStyle w:val="Bodytext"/>
          <w:color w:val="000000"/>
          <w:sz w:val="20"/>
          <w:lang w:val="es-AR" w:eastAsia="es-ES_tradnl"/>
        </w:rPr>
        <w:t>, así como una autorización ambiental (según se analizará en mayor detalle a continuación)</w:t>
      </w:r>
      <w:r w:rsidRPr="00AB7B88">
        <w:rPr>
          <w:rStyle w:val="Bodytext"/>
          <w:color w:val="000000"/>
          <w:sz w:val="20"/>
          <w:vertAlign w:val="superscript"/>
          <w:lang w:eastAsia="es-ES_tradnl"/>
        </w:rPr>
        <w:footnoteReference w:id="53"/>
      </w:r>
      <w:r w:rsidRPr="00AB7B88">
        <w:rPr>
          <w:rStyle w:val="Bodytext"/>
          <w:color w:val="000000"/>
          <w:sz w:val="20"/>
          <w:lang w:val="es-AR" w:eastAsia="es-ES_tradnl"/>
        </w:rPr>
        <w:t>.</w:t>
      </w:r>
    </w:p>
    <w:p w14:paraId="26254BC5"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Finalmente, el plazo legal para las negociaciones que se disponía en la Ley de Minería de Gran Porte venció el 24 de noviembre de 2015 sin que se llegara a un acuerdo definitivo sobre el Contrato de Concesión</w:t>
      </w:r>
      <w:r w:rsidRPr="00AB7B88">
        <w:rPr>
          <w:rStyle w:val="Bodytext"/>
          <w:color w:val="000000"/>
          <w:sz w:val="20"/>
          <w:vertAlign w:val="superscript"/>
          <w:lang w:eastAsia="es-ES_tradnl"/>
        </w:rPr>
        <w:footnoteReference w:id="54"/>
      </w:r>
      <w:r w:rsidRPr="00AB7B88">
        <w:rPr>
          <w:rStyle w:val="Bodytext"/>
          <w:color w:val="000000"/>
          <w:sz w:val="20"/>
          <w:lang w:val="es-AR" w:eastAsia="es-ES_tradnl"/>
        </w:rPr>
        <w:t xml:space="preserve">. En </w:t>
      </w:r>
      <w:r w:rsidRPr="00AB7B88">
        <w:rPr>
          <w:rStyle w:val="Bodytext"/>
          <w:color w:val="000000"/>
          <w:sz w:val="20"/>
          <w:lang w:val="es-AR" w:eastAsia="es-ES_tradnl"/>
        </w:rPr>
        <w:lastRenderedPageBreak/>
        <w:t>consecuencia, el 17 de diciembre de 2015, el presidente Tabaré Vázquez, por medio del Ministerio de Industria, Energía y Minería (el "MIEM"), emitió la Resolución No. 885/17 (la "Declaración de Caducidad"), la cual, entre otras cosas: i) declaraba la caducidad de los títulos mineros Permiso de Prospección y Permiso de Exploración de Minera Aratirí; y ii) ordenaba la inscripción en el Registro de Vacancias del arca involucrada en el Proyecto Valentines</w:t>
      </w:r>
      <w:r w:rsidRPr="00AB7B88">
        <w:rPr>
          <w:rStyle w:val="Bodytext"/>
          <w:color w:val="000000"/>
          <w:sz w:val="20"/>
          <w:vertAlign w:val="superscript"/>
          <w:lang w:eastAsia="es-ES_tradnl"/>
        </w:rPr>
        <w:footnoteReference w:id="55"/>
      </w:r>
      <w:r w:rsidRPr="00AB7B88">
        <w:rPr>
          <w:rStyle w:val="Bodytext"/>
          <w:color w:val="000000"/>
          <w:sz w:val="20"/>
          <w:lang w:val="es-AR" w:eastAsia="es-ES_tradnl"/>
        </w:rPr>
        <w:t>.</w:t>
      </w:r>
    </w:p>
    <w:p w14:paraId="7FD88D3E"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En caso de no otorgarse un Contrato de Concesión, el articulo 24 c) de la Ley de Minería de Gran Porte dispone lo siguiente:</w:t>
      </w:r>
    </w:p>
    <w:p w14:paraId="31AF8B12" w14:textId="77777777" w:rsidR="003B3957" w:rsidRPr="00AB7B88" w:rsidRDefault="003B3957" w:rsidP="0009566F">
      <w:pPr>
        <w:pStyle w:val="Bodytext1"/>
        <w:shd w:val="clear" w:color="auto" w:fill="auto"/>
        <w:spacing w:before="0" w:line="360" w:lineRule="auto"/>
        <w:ind w:left="522" w:firstLine="0"/>
        <w:jc w:val="both"/>
        <w:rPr>
          <w:sz w:val="20"/>
          <w:lang w:val="es-AR"/>
        </w:rPr>
      </w:pPr>
      <w:r w:rsidRPr="00AB7B88">
        <w:rPr>
          <w:rStyle w:val="Bodytext"/>
          <w:color w:val="000000"/>
          <w:sz w:val="20"/>
          <w:lang w:val="es-AR" w:eastAsia="es-ES_tradnl"/>
        </w:rPr>
        <w:t>[...] En dicha circunstancia, el solicitante de la concesión para explotar tendrá prioridad ante la Administración para presentar un posible interesado, durante los primeros noventa días en que dicha área de Minería de Gran Porte haya entrado en el Registro de Vacancias. En caso de que el solicitante presente un nuevo interesado, se establece un plazo de ciento vente días no prorrogables para alcanzar un acuerdo</w:t>
      </w:r>
      <w:r w:rsidRPr="00AB7B88">
        <w:rPr>
          <w:rStyle w:val="Bodytext"/>
          <w:color w:val="000000"/>
          <w:sz w:val="20"/>
          <w:vertAlign w:val="superscript"/>
          <w:lang w:eastAsia="es-ES_tradnl"/>
        </w:rPr>
        <w:footnoteReference w:id="56"/>
      </w:r>
      <w:r w:rsidRPr="00AB7B88">
        <w:rPr>
          <w:rStyle w:val="Bodytext"/>
          <w:color w:val="000000"/>
          <w:sz w:val="20"/>
          <w:lang w:val="es-AR" w:eastAsia="es-ES_tradnl"/>
        </w:rPr>
        <w:t>.</w:t>
      </w:r>
    </w:p>
    <w:p w14:paraId="3676FBA5" w14:textId="77777777" w:rsidR="003B3957" w:rsidRPr="00AB7B88" w:rsidRDefault="003B3957" w:rsidP="00161E88">
      <w:pPr>
        <w:pStyle w:val="Bodytext1"/>
        <w:numPr>
          <w:ilvl w:val="0"/>
          <w:numId w:val="6"/>
        </w:numPr>
        <w:shd w:val="clear" w:color="auto" w:fill="auto"/>
        <w:spacing w:before="380" w:line="360" w:lineRule="auto"/>
        <w:ind w:left="522" w:hanging="522"/>
        <w:jc w:val="both"/>
        <w:rPr>
          <w:sz w:val="20"/>
          <w:lang w:val="es-AR"/>
        </w:rPr>
      </w:pPr>
      <w:r w:rsidRPr="00AB7B88">
        <w:rPr>
          <w:rStyle w:val="Bodytext"/>
          <w:color w:val="000000"/>
          <w:sz w:val="20"/>
          <w:lang w:val="es-AR" w:eastAsia="es-ES_tradnl"/>
        </w:rPr>
        <w:t>Por consiguiente, el 15 de marzo de 2016, el Sr. Agarwal informó al presidente Vázquez de que Minera Aratirí acababa de designar a una entidad llamada Invertexi S.A., "Ferrovalentines" ("Invertexi") como su sucesora para satisfacer los requisitos formales de la Ley de Mineria de Gran Porte</w:t>
      </w:r>
      <w:r w:rsidRPr="00AB7B88">
        <w:rPr>
          <w:rStyle w:val="Bodytext"/>
          <w:color w:val="000000"/>
          <w:sz w:val="20"/>
          <w:vertAlign w:val="superscript"/>
          <w:lang w:eastAsia="es-ES_tradnl"/>
        </w:rPr>
        <w:footnoteReference w:id="57"/>
      </w:r>
      <w:r w:rsidRPr="00AB7B88">
        <w:rPr>
          <w:rStyle w:val="Bodytext"/>
          <w:color w:val="000000"/>
          <w:sz w:val="20"/>
          <w:lang w:val="es-AR" w:eastAsia="es-ES_tradnl"/>
        </w:rPr>
        <w:t>. Sin embargo, el 4 de octubre de 2016, el presidente Vázquez emitió la Resolución No. 667/ 016 ("Resolución No. 667/016"), en la que declaraba que el plazo de 120 días establecido para las negociaciones con el nuevo interesado había vencido el 13 de julio de 2016 y se concluía expresamente que su vencimiento provocaba la preclusión de toda posibilidad de firmar el Contrato de Concesión para el Proyecto Valentines</w:t>
      </w:r>
      <w:r w:rsidRPr="00AB7B88">
        <w:rPr>
          <w:rStyle w:val="Bodytext"/>
          <w:color w:val="000000"/>
          <w:sz w:val="20"/>
          <w:vertAlign w:val="superscript"/>
          <w:lang w:eastAsia="es-ES_tradnl"/>
        </w:rPr>
        <w:footnoteReference w:id="58"/>
      </w:r>
      <w:r w:rsidRPr="00AB7B88">
        <w:rPr>
          <w:rStyle w:val="Bodytext"/>
          <w:color w:val="000000"/>
          <w:sz w:val="20"/>
          <w:lang w:val="es-AR" w:eastAsia="es-ES_tradnl"/>
        </w:rPr>
        <w:t>. La resolución confirmó que Invertexi nunca había adquirido la calidad de "nuevo interesado" en los términos de la Ley de Minería de Gran Porte y tampoco había levantado las observaciones que estaban pendientes de subsanación en el Proyecto Valentines</w:t>
      </w:r>
      <w:r w:rsidRPr="00AB7B88">
        <w:rPr>
          <w:rStyle w:val="Bodytext"/>
          <w:color w:val="000000"/>
          <w:sz w:val="20"/>
          <w:vertAlign w:val="superscript"/>
          <w:lang w:eastAsia="es-ES_tradnl"/>
        </w:rPr>
        <w:footnoteReference w:id="59"/>
      </w:r>
      <w:r w:rsidRPr="00AB7B88">
        <w:rPr>
          <w:rStyle w:val="Bodytext"/>
          <w:color w:val="000000"/>
          <w:sz w:val="20"/>
          <w:lang w:val="es-AR" w:eastAsia="es-ES_tradnl"/>
        </w:rPr>
        <w:t>.</w:t>
      </w:r>
    </w:p>
    <w:p w14:paraId="0DA0B512" w14:textId="77777777" w:rsidR="003B3957" w:rsidRPr="00AB7B88" w:rsidRDefault="003B3957" w:rsidP="00161E88">
      <w:pPr>
        <w:pStyle w:val="Bodytext1"/>
        <w:numPr>
          <w:ilvl w:val="0"/>
          <w:numId w:val="6"/>
        </w:numPr>
        <w:shd w:val="clear" w:color="auto" w:fill="auto"/>
        <w:spacing w:before="380" w:line="360" w:lineRule="auto"/>
        <w:ind w:left="522" w:hanging="522"/>
        <w:jc w:val="both"/>
        <w:rPr>
          <w:sz w:val="20"/>
          <w:lang w:val="es-AR"/>
        </w:rPr>
      </w:pPr>
      <w:r w:rsidRPr="00AB7B88">
        <w:rPr>
          <w:rStyle w:val="Bodytext"/>
          <w:color w:val="000000"/>
          <w:sz w:val="20"/>
          <w:lang w:val="es-AR" w:eastAsia="es-ES_tradnl"/>
        </w:rPr>
        <w:t>El 30 de octubre de 2017, el presidente Vázquez expidió la Resolución No. 180/2017, en virtud de la</w:t>
      </w:r>
      <w:r w:rsidR="006E70C4" w:rsidRPr="00AB7B88">
        <w:rPr>
          <w:sz w:val="20"/>
          <w:lang w:val="es-AR"/>
        </w:rPr>
        <w:t xml:space="preserve"> </w:t>
      </w:r>
      <w:r w:rsidRPr="00AB7B88">
        <w:rPr>
          <w:rStyle w:val="Bodytext"/>
          <w:color w:val="000000"/>
          <w:sz w:val="20"/>
          <w:lang w:val="es-AR" w:eastAsia="es-ES_tradnl"/>
        </w:rPr>
        <w:t>cual las áreas que abarcaba el Proyecto Valentines se incluyeron en una "reserva minera" por un plazo de tres años</w:t>
      </w:r>
      <w:r w:rsidRPr="00AB7B88">
        <w:rPr>
          <w:rStyle w:val="Bodytext"/>
          <w:color w:val="000000"/>
          <w:sz w:val="20"/>
          <w:vertAlign w:val="superscript"/>
          <w:lang w:eastAsia="es-ES_tradnl"/>
        </w:rPr>
        <w:footnoteReference w:id="60"/>
      </w:r>
      <w:r w:rsidRPr="00AB7B88">
        <w:rPr>
          <w:rStyle w:val="Bodytext"/>
          <w:color w:val="000000"/>
          <w:sz w:val="20"/>
          <w:lang w:val="es-AR" w:eastAsia="es-ES_tradnl"/>
        </w:rPr>
        <w:t xml:space="preserve">. Conforme al Código de Minería, esta resolución reclasificó los recursos mineros en el área del Proyecto Valentines como yacimientos de la Clase II y suspendió el otorgamiento de permisos de prospección </w:t>
      </w:r>
      <w:r w:rsidRPr="00AB7B88">
        <w:rPr>
          <w:rStyle w:val="Bodytext"/>
          <w:color w:val="000000"/>
          <w:sz w:val="20"/>
          <w:lang w:val="es-AR" w:eastAsia="es-ES_tradnl"/>
        </w:rPr>
        <w:lastRenderedPageBreak/>
        <w:t>adicionales durante el mencionado período de tres años, prorrogable por dos años más por causas fundadas</w:t>
      </w:r>
      <w:r w:rsidRPr="00AB7B88">
        <w:rPr>
          <w:rStyle w:val="Bodytext"/>
          <w:color w:val="000000"/>
          <w:sz w:val="20"/>
          <w:vertAlign w:val="superscript"/>
          <w:lang w:eastAsia="es-ES_tradnl"/>
        </w:rPr>
        <w:footnoteReference w:id="61"/>
      </w:r>
      <w:r w:rsidRPr="00AB7B88">
        <w:rPr>
          <w:rStyle w:val="Bodytext"/>
          <w:color w:val="000000"/>
          <w:sz w:val="20"/>
          <w:lang w:val="es-AR" w:eastAsia="es-ES_tradnl"/>
        </w:rPr>
        <w:t>.</w:t>
      </w:r>
    </w:p>
    <w:p w14:paraId="694F3BFE" w14:textId="77777777" w:rsidR="003B3957" w:rsidRPr="00AB7B88" w:rsidRDefault="003B3957" w:rsidP="0001074B">
      <w:pPr>
        <w:pStyle w:val="Bodytext1"/>
        <w:numPr>
          <w:ilvl w:val="0"/>
          <w:numId w:val="6"/>
        </w:numPr>
        <w:shd w:val="clear" w:color="auto" w:fill="auto"/>
        <w:spacing w:before="380" w:line="360" w:lineRule="auto"/>
        <w:ind w:left="522" w:hanging="522"/>
        <w:jc w:val="both"/>
        <w:rPr>
          <w:rStyle w:val="Bodytext"/>
          <w:rFonts w:eastAsia="Calibri"/>
          <w:color w:val="000000"/>
          <w:sz w:val="20"/>
          <w:lang w:val="es-AR" w:eastAsia="es-ES_tradnl"/>
        </w:rPr>
      </w:pPr>
      <w:r w:rsidRPr="00AB7B88">
        <w:rPr>
          <w:rStyle w:val="Bodytext"/>
          <w:rFonts w:eastAsia="Calibri"/>
          <w:color w:val="000000"/>
          <w:sz w:val="20"/>
          <w:lang w:val="es-AR" w:eastAsia="es-ES_tradnl"/>
        </w:rPr>
        <w:t>La Resolución No. 667/016 co</w:t>
      </w:r>
      <w:r w:rsidRPr="00AB7B88">
        <w:rPr>
          <w:color w:val="000000"/>
          <w:lang w:val="es-AR" w:eastAsia="es-ES_tradnl"/>
        </w:rPr>
        <w:t>nfir</w:t>
      </w:r>
      <w:r w:rsidRPr="00AB7B88">
        <w:rPr>
          <w:rStyle w:val="Bodytext"/>
          <w:rFonts w:eastAsia="Calibri"/>
          <w:color w:val="000000"/>
          <w:sz w:val="20"/>
          <w:lang w:val="es-AR" w:eastAsia="es-ES_tradnl"/>
        </w:rPr>
        <w:t>mó la caducidad del plazo para alcanzar un acuerdo con el interesado, conforme al artículo 24 c) de la Ley de Minería de Gran Porte, y declaró el inicio del plazo dispuesto en el artículo 37 de dicha ley</w:t>
      </w:r>
      <w:r w:rsidRPr="00AB7B88">
        <w:rPr>
          <w:rStyle w:val="Bodytext"/>
          <w:rFonts w:eastAsia="Calibri"/>
          <w:color w:val="000000"/>
          <w:sz w:val="20"/>
          <w:vertAlign w:val="superscript"/>
          <w:lang w:eastAsia="es-ES_tradnl"/>
        </w:rPr>
        <w:footnoteReference w:id="62"/>
      </w:r>
      <w:r w:rsidRPr="00AB7B88">
        <w:rPr>
          <w:rStyle w:val="Bodytext"/>
          <w:rFonts w:eastAsia="Calibri"/>
          <w:color w:val="000000"/>
          <w:sz w:val="20"/>
          <w:lang w:val="es-AR" w:eastAsia="es-ES_tradnl"/>
        </w:rPr>
        <w:t>, conforme al cual Uruguay gozaba de un derecho de preferencia de compra de los datos contenidos en el Proyecto Valentines de 180 días</w:t>
      </w:r>
      <w:r w:rsidRPr="00AB7B88">
        <w:rPr>
          <w:rStyle w:val="Bodytext"/>
          <w:rFonts w:eastAsia="Calibri"/>
          <w:color w:val="000000"/>
          <w:sz w:val="20"/>
          <w:vertAlign w:val="superscript"/>
          <w:lang w:eastAsia="es-ES_tradnl"/>
        </w:rPr>
        <w:footnoteReference w:id="63"/>
      </w:r>
      <w:r w:rsidRPr="00AB7B88">
        <w:rPr>
          <w:rStyle w:val="Bodytext"/>
          <w:rFonts w:eastAsia="Calibri"/>
          <w:color w:val="000000"/>
          <w:sz w:val="20"/>
          <w:lang w:val="es-AR" w:eastAsia="es-ES_tradnl"/>
        </w:rPr>
        <w:t>. No resulta controvertido que Uruguay nunca ejerció este derecho</w:t>
      </w:r>
      <w:r w:rsidRPr="00AB7B88">
        <w:rPr>
          <w:rStyle w:val="Bodytext"/>
          <w:rFonts w:eastAsia="Calibri"/>
          <w:color w:val="000000"/>
          <w:sz w:val="20"/>
          <w:vertAlign w:val="superscript"/>
          <w:lang w:eastAsia="es-ES_tradnl"/>
        </w:rPr>
        <w:footnoteReference w:id="64"/>
      </w:r>
      <w:r w:rsidRPr="00AB7B88">
        <w:rPr>
          <w:rStyle w:val="Bodytext"/>
          <w:rFonts w:eastAsia="Calibri"/>
          <w:color w:val="000000"/>
          <w:sz w:val="20"/>
          <w:lang w:val="es-AR" w:eastAsia="es-ES_tradnl"/>
        </w:rPr>
        <w:t>. Los Demandantes afirman que no era necesario que Uruguay ejerciera su opción al amparo del artículo 37, puesto que había tomado la posición de que la información del Proyecto Valentines, entre ella las muestras geológicas y otros datos confidenciales, ya le pertenecía</w:t>
      </w:r>
      <w:r w:rsidRPr="00AB7B88">
        <w:rPr>
          <w:rStyle w:val="Bodytext"/>
          <w:rFonts w:eastAsia="Calibri"/>
          <w:color w:val="000000"/>
          <w:sz w:val="20"/>
          <w:vertAlign w:val="superscript"/>
          <w:lang w:eastAsia="es-ES_tradnl"/>
        </w:rPr>
        <w:footnoteReference w:id="65"/>
      </w:r>
      <w:r w:rsidRPr="00AB7B88">
        <w:rPr>
          <w:rStyle w:val="Bodytext"/>
          <w:rFonts w:eastAsia="Calibri"/>
          <w:color w:val="000000"/>
          <w:sz w:val="20"/>
          <w:lang w:val="es-AR" w:eastAsia="es-ES_tradnl"/>
        </w:rPr>
        <w:t>. La Demandada aclara que "la titularidad de la información del Proyecto entregada por la empresa corresponde a [Minera Aratirí]", lo cual, observan, se corresponde con el entendimiento del Poder Ejecutivo en el curso del Proyecto</w:t>
      </w:r>
      <w:r w:rsidRPr="00AB7B88">
        <w:rPr>
          <w:rStyle w:val="Bodytext"/>
          <w:rFonts w:eastAsia="Calibri"/>
          <w:color w:val="000000"/>
          <w:sz w:val="20"/>
          <w:vertAlign w:val="superscript"/>
          <w:lang w:eastAsia="es-ES_tradnl"/>
        </w:rPr>
        <w:footnoteReference w:id="66"/>
      </w:r>
      <w:r w:rsidRPr="00AB7B88">
        <w:rPr>
          <w:rStyle w:val="Bodytext"/>
          <w:rFonts w:eastAsia="Calibri"/>
          <w:color w:val="000000"/>
          <w:sz w:val="20"/>
          <w:lang w:val="es-AR" w:eastAsia="es-ES_tradnl"/>
        </w:rPr>
        <w:t>.</w:t>
      </w:r>
    </w:p>
    <w:p w14:paraId="1FBD71EB" w14:textId="77777777" w:rsidR="003B3957" w:rsidRPr="00AB7B88" w:rsidRDefault="003B3957" w:rsidP="00A336C5">
      <w:pPr>
        <w:pStyle w:val="Heading20"/>
        <w:keepNext/>
        <w:keepLines/>
        <w:numPr>
          <w:ilvl w:val="0"/>
          <w:numId w:val="69"/>
        </w:numPr>
        <w:shd w:val="clear" w:color="auto" w:fill="auto"/>
        <w:tabs>
          <w:tab w:val="left" w:pos="425"/>
        </w:tabs>
        <w:spacing w:before="380" w:after="0" w:line="360" w:lineRule="auto"/>
        <w:rPr>
          <w:rFonts w:ascii="Times New Roman" w:hAnsi="Times New Roman"/>
          <w:b w:val="0"/>
          <w:sz w:val="20"/>
        </w:rPr>
      </w:pPr>
      <w:bookmarkStart w:id="49" w:name="bookmark54"/>
      <w:bookmarkStart w:id="50" w:name="bookmark55"/>
      <w:r w:rsidRPr="00AB7B88">
        <w:rPr>
          <w:rStyle w:val="Heading2"/>
          <w:rFonts w:ascii="Times New Roman" w:hAnsi="Times New Roman"/>
          <w:b/>
          <w:color w:val="000000"/>
          <w:sz w:val="20"/>
          <w:lang w:eastAsia="es-ES_tradnl"/>
        </w:rPr>
        <w:t>Beneficios fiscales</w:t>
      </w:r>
      <w:bookmarkEnd w:id="49"/>
      <w:bookmarkEnd w:id="50"/>
    </w:p>
    <w:p w14:paraId="41C7F466" w14:textId="77777777" w:rsidR="003B3957" w:rsidRPr="00AB7B88" w:rsidRDefault="003B3957" w:rsidP="0001074B">
      <w:pPr>
        <w:pStyle w:val="Bodytext1"/>
        <w:numPr>
          <w:ilvl w:val="0"/>
          <w:numId w:val="6"/>
        </w:numPr>
        <w:shd w:val="clear" w:color="auto" w:fill="auto"/>
        <w:spacing w:before="380" w:line="360" w:lineRule="auto"/>
        <w:ind w:left="522" w:hanging="522"/>
        <w:jc w:val="both"/>
        <w:rPr>
          <w:sz w:val="20"/>
          <w:lang w:val="es-AR"/>
        </w:rPr>
      </w:pPr>
      <w:r w:rsidRPr="00AB7B88">
        <w:rPr>
          <w:rStyle w:val="Bodytext"/>
          <w:color w:val="000000"/>
          <w:sz w:val="20"/>
          <w:lang w:val="es-AR" w:eastAsia="es-ES_tradnl"/>
        </w:rPr>
        <w:t>En forma paralela a los acontecimientos en tomo a los intentos de Minera Aratirí por obtener una concesión para explotación minera, la empresa también intentó obtener toda una gama de beneficios fiscales para el Proyecto Valentines.</w:t>
      </w:r>
    </w:p>
    <w:p w14:paraId="2EF7D774" w14:textId="77777777" w:rsidR="003B3957" w:rsidRPr="00AB7B88" w:rsidRDefault="003B3957" w:rsidP="0001074B">
      <w:pPr>
        <w:pStyle w:val="Bodytext1"/>
        <w:numPr>
          <w:ilvl w:val="0"/>
          <w:numId w:val="6"/>
        </w:numPr>
        <w:shd w:val="clear" w:color="auto" w:fill="auto"/>
        <w:spacing w:before="380" w:line="360" w:lineRule="auto"/>
        <w:ind w:left="522" w:hanging="522"/>
        <w:jc w:val="both"/>
        <w:rPr>
          <w:sz w:val="20"/>
          <w:lang w:val="es-AR"/>
        </w:rPr>
      </w:pPr>
      <w:r w:rsidRPr="00AB7B88">
        <w:rPr>
          <w:rStyle w:val="Bodytext"/>
          <w:color w:val="000000"/>
          <w:sz w:val="20"/>
          <w:lang w:val="es-AR" w:eastAsia="es-ES_tradnl"/>
        </w:rPr>
        <w:t xml:space="preserve">En primer término, Minera Aratirí intentó obtener beneficios fiscales en el marco de la Ley No. 16.906 para la promoción y protección de las inversiones y el Decreto 455/007. El 29 de diciembre de 2011, Minera Aratirí presentó su nota de solicitud a la Comisión de Aplicación establecida por la mencionada ley (la "Solicitud ante la COMAP"), mediante la cual solicitaba exoneraciones respecto del impuesto al patrimonio, tasas o tributos a la importación y el impuesto a la renta societaria, así como condiciones específicas para el impuesto </w:t>
      </w:r>
      <w:r w:rsidRPr="00AB7B88">
        <w:rPr>
          <w:rStyle w:val="Bodytext"/>
          <w:color w:val="000000"/>
          <w:sz w:val="20"/>
          <w:lang w:val="es-AR" w:eastAsia="es-ES_tradnl"/>
        </w:rPr>
        <w:lastRenderedPageBreak/>
        <w:t>al valor agregado y la computación fiscal de ciertos honorarios y salarios</w:t>
      </w:r>
      <w:r w:rsidRPr="00AB7B88">
        <w:rPr>
          <w:rStyle w:val="Bodytext"/>
          <w:color w:val="000000"/>
          <w:sz w:val="20"/>
          <w:vertAlign w:val="superscript"/>
          <w:lang w:eastAsia="es-ES_tradnl"/>
        </w:rPr>
        <w:footnoteReference w:id="67"/>
      </w:r>
      <w:r w:rsidRPr="00AB7B88">
        <w:rPr>
          <w:rStyle w:val="Bodytext"/>
          <w:color w:val="000000"/>
          <w:sz w:val="20"/>
          <w:lang w:val="es-AR" w:eastAsia="es-ES_tradnl"/>
        </w:rPr>
        <w:t>.</w:t>
      </w:r>
    </w:p>
    <w:p w14:paraId="75115448"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El 27 de marzo de 2012, el Poder Ejecutivo, por conducto de los altos funcionarios del M1EM y el Ministerio de Economía y Finanzas (MEF), rechazó formalmente la solicitud ante la COMAP, observando que: i) el Poder Ejecutivo había anunciado en el Documento de Acuerdo su intención de no aplicar el régimen de exoneraciones de la Ley de Inversiones a la mega minería</w:t>
      </w:r>
      <w:r w:rsidRPr="00AB7B88">
        <w:rPr>
          <w:rStyle w:val="Bodytext"/>
          <w:color w:val="000000"/>
          <w:sz w:val="20"/>
          <w:vertAlign w:val="superscript"/>
          <w:lang w:eastAsia="es-ES_tradnl"/>
        </w:rPr>
        <w:footnoteReference w:id="68"/>
      </w:r>
      <w:r w:rsidRPr="00AB7B88">
        <w:rPr>
          <w:rStyle w:val="Bodytext"/>
          <w:color w:val="000000"/>
          <w:sz w:val="20"/>
          <w:lang w:val="es-AR" w:eastAsia="es-ES_tradnl"/>
        </w:rPr>
        <w:t>; y ii) Minera Aratirí no había acreditado la obtención, entre otras cosas, de una autorización medioambiental, habilitación a los efectos del puerto minero o un título de explotación minera</w:t>
      </w:r>
      <w:r w:rsidRPr="00AB7B88">
        <w:rPr>
          <w:rStyle w:val="Bodytext"/>
          <w:color w:val="000000"/>
          <w:sz w:val="20"/>
          <w:vertAlign w:val="superscript"/>
          <w:lang w:eastAsia="es-ES_tradnl"/>
        </w:rPr>
        <w:footnoteReference w:id="69"/>
      </w:r>
      <w:r w:rsidRPr="00AB7B88">
        <w:rPr>
          <w:rStyle w:val="Bodytext"/>
          <w:color w:val="000000"/>
          <w:sz w:val="20"/>
          <w:lang w:val="es-AR" w:eastAsia="es-ES_tradnl"/>
        </w:rPr>
        <w:t>. Minera Aratirí apeló la decisión -infructuosamente- ante el Poder Ejecutivo</w:t>
      </w:r>
      <w:r w:rsidRPr="00AB7B88">
        <w:rPr>
          <w:rStyle w:val="Bodytext"/>
          <w:color w:val="000000"/>
          <w:sz w:val="20"/>
          <w:vertAlign w:val="superscript"/>
          <w:lang w:eastAsia="es-ES_tradnl"/>
        </w:rPr>
        <w:footnoteReference w:id="70"/>
      </w:r>
      <w:r w:rsidRPr="00AB7B88">
        <w:rPr>
          <w:rStyle w:val="Bodytext"/>
          <w:color w:val="000000"/>
          <w:sz w:val="20"/>
          <w:lang w:val="es-AR" w:eastAsia="es-ES_tradnl"/>
        </w:rPr>
        <w:t xml:space="preserve"> y más adelante ante tribunales uruguayos</w:t>
      </w:r>
      <w:r w:rsidRPr="00AB7B88">
        <w:rPr>
          <w:rStyle w:val="Bodytext"/>
          <w:color w:val="000000"/>
          <w:sz w:val="20"/>
          <w:vertAlign w:val="superscript"/>
          <w:lang w:eastAsia="es-ES_tradnl"/>
        </w:rPr>
        <w:footnoteReference w:id="71"/>
      </w:r>
      <w:r w:rsidRPr="00AB7B88">
        <w:rPr>
          <w:rStyle w:val="Bodytext"/>
          <w:color w:val="000000"/>
          <w:sz w:val="20"/>
          <w:lang w:val="es-AR" w:eastAsia="es-ES_tradnl"/>
        </w:rPr>
        <w:t>.</w:t>
      </w:r>
    </w:p>
    <w:p w14:paraId="34DB3183"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Minera Aratirí también procuró obtener, infructuosamente, beneficios fiscales: i) conforme al Decreto No. 477/008, que se aplicaba a proyectos de inversión que satisfagan el umbral de "gran significación económica"</w:t>
      </w:r>
      <w:r w:rsidRPr="00AB7B88">
        <w:rPr>
          <w:rStyle w:val="Bodytext"/>
          <w:color w:val="000000"/>
          <w:sz w:val="20"/>
          <w:vertAlign w:val="superscript"/>
          <w:lang w:eastAsia="es-ES_tradnl"/>
        </w:rPr>
        <w:footnoteReference w:id="72"/>
      </w:r>
      <w:r w:rsidRPr="00AB7B88">
        <w:rPr>
          <w:rStyle w:val="Bodytext"/>
          <w:color w:val="000000"/>
          <w:sz w:val="20"/>
          <w:lang w:val="es-AR" w:eastAsia="es-ES_tradnl"/>
        </w:rPr>
        <w:t>; y ii) como parte de las negociaciones del Contrato de Concesión</w:t>
      </w:r>
      <w:r w:rsidRPr="00AB7B88">
        <w:rPr>
          <w:rStyle w:val="Bodytext"/>
          <w:color w:val="000000"/>
          <w:sz w:val="20"/>
          <w:vertAlign w:val="superscript"/>
          <w:lang w:eastAsia="es-ES_tradnl"/>
        </w:rPr>
        <w:footnoteReference w:id="73"/>
      </w:r>
      <w:r w:rsidRPr="00AB7B88">
        <w:rPr>
          <w:rStyle w:val="Bodytext"/>
          <w:color w:val="000000"/>
          <w:sz w:val="20"/>
          <w:lang w:val="es-AR" w:eastAsia="es-ES_tradnl"/>
        </w:rPr>
        <w:t>.</w:t>
      </w:r>
    </w:p>
    <w:p w14:paraId="58074308" w14:textId="77777777" w:rsidR="003B3957" w:rsidRPr="00AB7B88" w:rsidRDefault="003B3957" w:rsidP="00B96127">
      <w:pPr>
        <w:pStyle w:val="Heading20"/>
        <w:keepNext/>
        <w:keepLines/>
        <w:numPr>
          <w:ilvl w:val="0"/>
          <w:numId w:val="69"/>
        </w:numPr>
        <w:shd w:val="clear" w:color="auto" w:fill="auto"/>
        <w:tabs>
          <w:tab w:val="left" w:pos="425"/>
        </w:tabs>
        <w:spacing w:before="380" w:after="0" w:line="360" w:lineRule="auto"/>
        <w:rPr>
          <w:rFonts w:ascii="Times New Roman" w:hAnsi="Times New Roman"/>
          <w:b w:val="0"/>
          <w:sz w:val="20"/>
        </w:rPr>
      </w:pPr>
      <w:bookmarkStart w:id="51" w:name="bookmark56"/>
      <w:bookmarkStart w:id="52" w:name="bookmark57"/>
      <w:r w:rsidRPr="00AB7B88">
        <w:rPr>
          <w:rStyle w:val="Heading2"/>
          <w:rFonts w:ascii="Times New Roman" w:hAnsi="Times New Roman"/>
          <w:b/>
          <w:color w:val="000000"/>
          <w:sz w:val="20"/>
          <w:lang w:eastAsia="es-ES_tradnl"/>
        </w:rPr>
        <w:t>La Concesión del álveo</w:t>
      </w:r>
      <w:bookmarkEnd w:id="51"/>
      <w:bookmarkEnd w:id="52"/>
    </w:p>
    <w:p w14:paraId="29A37EF2" w14:textId="77777777" w:rsidR="003B3957" w:rsidRPr="00AB7B88" w:rsidRDefault="003B3957" w:rsidP="00D96B83">
      <w:pPr>
        <w:pStyle w:val="Bodytext1"/>
        <w:numPr>
          <w:ilvl w:val="0"/>
          <w:numId w:val="6"/>
        </w:numPr>
        <w:shd w:val="clear" w:color="auto" w:fill="auto"/>
        <w:spacing w:before="380" w:line="360" w:lineRule="auto"/>
        <w:ind w:left="522" w:hanging="522"/>
        <w:jc w:val="both"/>
        <w:rPr>
          <w:sz w:val="20"/>
          <w:lang w:val="es-AR"/>
        </w:rPr>
      </w:pPr>
      <w:r w:rsidRPr="00AB7B88">
        <w:rPr>
          <w:rStyle w:val="Bodytext"/>
          <w:color w:val="000000"/>
          <w:sz w:val="20"/>
          <w:lang w:val="es-AR" w:eastAsia="es-ES_tradnl"/>
        </w:rPr>
        <w:t>A fin de posibilitar la construcción de la Terminal Portuaria, Minera Aratirí debía obtener una concesión del álveo de la Dirección Nacional de Hidrografía (DNH). El 9 de septiembre de 2011, la empresa presentó una solicitud para tal efecto, en la que brindó algunos detalles técnicos y de diseño preliminares de la Terminal Portuaria</w:t>
      </w:r>
      <w:r w:rsidRPr="00AB7B88">
        <w:rPr>
          <w:rStyle w:val="Bodytext"/>
          <w:color w:val="000000"/>
          <w:sz w:val="20"/>
          <w:vertAlign w:val="superscript"/>
          <w:lang w:eastAsia="es-ES_tradnl"/>
        </w:rPr>
        <w:footnoteReference w:id="74"/>
      </w:r>
      <w:r w:rsidRPr="00AB7B88">
        <w:rPr>
          <w:rStyle w:val="Bodytext"/>
          <w:color w:val="000000"/>
          <w:sz w:val="20"/>
          <w:lang w:val="es-AR" w:eastAsia="es-ES_tradnl"/>
        </w:rPr>
        <w:t>. Un año antes, el Gobierno de Uruguay había confirmado que la Terminal Portuaria podría localizarse en La Angostura</w:t>
      </w:r>
      <w:r w:rsidRPr="00AB7B88">
        <w:rPr>
          <w:rStyle w:val="Bodytext"/>
          <w:color w:val="000000"/>
          <w:sz w:val="20"/>
          <w:vertAlign w:val="superscript"/>
          <w:lang w:eastAsia="es-ES_tradnl"/>
        </w:rPr>
        <w:footnoteReference w:id="75"/>
      </w:r>
      <w:r w:rsidRPr="00AB7B88">
        <w:rPr>
          <w:rStyle w:val="Bodytext"/>
          <w:color w:val="000000"/>
          <w:sz w:val="20"/>
          <w:lang w:val="es-AR" w:eastAsia="es-ES_tradnl"/>
        </w:rPr>
        <w:t>. Sin embargo, Minera Aratirí aclaró que aún estaba tratando de obtener el título de este inmueble (un requisito para la concesión del álveo), que era propiedad del Ministerio de Defensa Nacional (MDN)</w:t>
      </w:r>
      <w:r w:rsidRPr="00AB7B88">
        <w:rPr>
          <w:rStyle w:val="Bodytext"/>
          <w:color w:val="000000"/>
          <w:sz w:val="20"/>
          <w:vertAlign w:val="superscript"/>
          <w:lang w:eastAsia="es-ES_tradnl"/>
        </w:rPr>
        <w:footnoteReference w:id="76"/>
      </w:r>
      <w:r w:rsidRPr="00AB7B88">
        <w:rPr>
          <w:rStyle w:val="Bodytext"/>
          <w:color w:val="000000"/>
          <w:sz w:val="20"/>
          <w:lang w:val="es-AR" w:eastAsia="es-ES_tradnl"/>
        </w:rPr>
        <w:t>.</w:t>
      </w:r>
    </w:p>
    <w:p w14:paraId="0049D91E" w14:textId="77777777" w:rsidR="003B3957" w:rsidRPr="00AB7B88" w:rsidRDefault="003B3957" w:rsidP="00D96B83">
      <w:pPr>
        <w:pStyle w:val="Bodytext1"/>
        <w:numPr>
          <w:ilvl w:val="0"/>
          <w:numId w:val="6"/>
        </w:numPr>
        <w:shd w:val="clear" w:color="auto" w:fill="auto"/>
        <w:spacing w:before="380" w:line="360" w:lineRule="auto"/>
        <w:ind w:left="522" w:hanging="522"/>
        <w:jc w:val="both"/>
        <w:rPr>
          <w:sz w:val="20"/>
          <w:lang w:val="es-AR"/>
        </w:rPr>
      </w:pPr>
      <w:r w:rsidRPr="00AB7B88">
        <w:rPr>
          <w:rStyle w:val="Bodytext"/>
          <w:color w:val="000000"/>
          <w:sz w:val="20"/>
          <w:lang w:val="es-AR" w:eastAsia="es-ES_tradnl"/>
        </w:rPr>
        <w:lastRenderedPageBreak/>
        <w:t>En 2012, el Gobierno de Uruguay ordenó la reubicación de la Terminal Portuaria a un puerto de aguas profundas que se construiría en El Palenque</w:t>
      </w:r>
      <w:r w:rsidRPr="00AB7B88">
        <w:rPr>
          <w:rStyle w:val="Bodytext"/>
          <w:color w:val="000000"/>
          <w:sz w:val="20"/>
          <w:vertAlign w:val="superscript"/>
          <w:lang w:eastAsia="es-ES_tradnl"/>
        </w:rPr>
        <w:footnoteReference w:id="77"/>
      </w:r>
      <w:r w:rsidRPr="00AB7B88">
        <w:rPr>
          <w:rStyle w:val="Bodytext"/>
          <w:color w:val="000000"/>
          <w:sz w:val="20"/>
          <w:lang w:val="es-AR" w:eastAsia="es-ES_tradnl"/>
        </w:rPr>
        <w:t>; una decisión que luego fue abrogada en mayo de 2015 por el nuevo gobierno del presidente Vázquez</w:t>
      </w:r>
      <w:r w:rsidRPr="00AB7B88">
        <w:rPr>
          <w:rStyle w:val="Bodytext"/>
          <w:color w:val="000000"/>
          <w:sz w:val="20"/>
          <w:vertAlign w:val="superscript"/>
          <w:lang w:eastAsia="es-ES_tradnl"/>
        </w:rPr>
        <w:footnoteReference w:id="78"/>
      </w:r>
      <w:r w:rsidRPr="00AB7B88">
        <w:rPr>
          <w:rStyle w:val="Bodytext"/>
          <w:color w:val="000000"/>
          <w:sz w:val="20"/>
          <w:lang w:val="es-AR" w:eastAsia="es-ES_tradnl"/>
        </w:rPr>
        <w:t>.</w:t>
      </w:r>
    </w:p>
    <w:p w14:paraId="2C1B0727" w14:textId="77777777" w:rsidR="003B3957" w:rsidRPr="00AB7B88" w:rsidRDefault="003B3957" w:rsidP="00D96B83">
      <w:pPr>
        <w:pStyle w:val="Bodytext1"/>
        <w:numPr>
          <w:ilvl w:val="0"/>
          <w:numId w:val="6"/>
        </w:numPr>
        <w:shd w:val="clear" w:color="auto" w:fill="auto"/>
        <w:spacing w:before="380" w:line="360" w:lineRule="auto"/>
        <w:ind w:left="522" w:hanging="522"/>
        <w:jc w:val="both"/>
        <w:rPr>
          <w:sz w:val="20"/>
          <w:lang w:val="es-AR"/>
        </w:rPr>
      </w:pPr>
      <w:r w:rsidRPr="00AB7B88">
        <w:rPr>
          <w:rStyle w:val="Bodytext"/>
          <w:color w:val="000000"/>
          <w:sz w:val="20"/>
          <w:lang w:val="es-AR" w:eastAsia="es-ES_tradnl"/>
        </w:rPr>
        <w:t>Según los Demandantes, la demora del gobierno en concretar la ubicación de la Terminal Portuaria impidió que la empresa obtuviese cualquiera de los permisos necesarios para llevar adelante el Proyecto Valentines</w:t>
      </w:r>
      <w:r w:rsidRPr="00AB7B88">
        <w:rPr>
          <w:rStyle w:val="Bodytext"/>
          <w:color w:val="000000"/>
          <w:sz w:val="20"/>
          <w:vertAlign w:val="superscript"/>
          <w:lang w:eastAsia="es-ES_tradnl"/>
        </w:rPr>
        <w:footnoteReference w:id="79"/>
      </w:r>
      <w:r w:rsidRPr="00AB7B88">
        <w:rPr>
          <w:rStyle w:val="Bodytext"/>
          <w:color w:val="000000"/>
          <w:sz w:val="20"/>
          <w:lang w:val="es-AR" w:eastAsia="es-ES_tradnl"/>
        </w:rPr>
        <w:t xml:space="preserve"> y fue "uno de los golpes de gracia del Proyecto Valentines</w:t>
      </w:r>
      <w:r w:rsidRPr="00AB7B88">
        <w:rPr>
          <w:rStyle w:val="Bodytext"/>
          <w:color w:val="000000"/>
          <w:sz w:val="20"/>
          <w:vertAlign w:val="superscript"/>
          <w:lang w:eastAsia="es-ES_tradnl"/>
        </w:rPr>
        <w:footnoteReference w:id="80"/>
      </w:r>
      <w:r w:rsidRPr="00AB7B88">
        <w:rPr>
          <w:rStyle w:val="Bodytext"/>
          <w:color w:val="000000"/>
          <w:sz w:val="20"/>
          <w:lang w:val="es-AR" w:eastAsia="es-ES_tradnl"/>
        </w:rPr>
        <w:t>". A su vez, la Demandada aduce que los propios incumplimientos de Minera Aratirí de sus deberes para obtener</w:t>
      </w:r>
      <w:r w:rsidR="00E80C38" w:rsidRPr="00AB7B88">
        <w:rPr>
          <w:sz w:val="20"/>
          <w:lang w:val="es-AR"/>
        </w:rPr>
        <w:t xml:space="preserve"> </w:t>
      </w:r>
      <w:r w:rsidRPr="00AB7B88">
        <w:rPr>
          <w:rStyle w:val="Bodytext"/>
          <w:color w:val="000000"/>
          <w:sz w:val="20"/>
          <w:lang w:val="es-AR" w:eastAsia="es-ES_tradnl"/>
        </w:rPr>
        <w:t>una concesión del álveo y la autorización para proceder con la construcción de una Terminal Portuaria finalmente ocasionaron el fracaso de dicha Terminal</w:t>
      </w:r>
      <w:r w:rsidRPr="00AB7B88">
        <w:rPr>
          <w:rStyle w:val="Bodytext"/>
          <w:color w:val="000000"/>
          <w:sz w:val="20"/>
          <w:vertAlign w:val="superscript"/>
          <w:lang w:eastAsia="es-ES_tradnl"/>
        </w:rPr>
        <w:footnoteReference w:id="81"/>
      </w:r>
      <w:r w:rsidRPr="00AB7B88">
        <w:rPr>
          <w:rStyle w:val="Bodytext"/>
          <w:color w:val="000000"/>
          <w:sz w:val="20"/>
          <w:lang w:val="es-AR" w:eastAsia="es-ES_tradnl"/>
        </w:rPr>
        <w:t>.</w:t>
      </w:r>
    </w:p>
    <w:p w14:paraId="23EE1FF0" w14:textId="77777777" w:rsidR="003B3957" w:rsidRPr="00AB7B88" w:rsidRDefault="003B3957" w:rsidP="00A26C50">
      <w:pPr>
        <w:pStyle w:val="Heading20"/>
        <w:keepNext/>
        <w:keepLines/>
        <w:numPr>
          <w:ilvl w:val="0"/>
          <w:numId w:val="69"/>
        </w:numPr>
        <w:shd w:val="clear" w:color="auto" w:fill="auto"/>
        <w:tabs>
          <w:tab w:val="left" w:pos="425"/>
        </w:tabs>
        <w:spacing w:before="380" w:after="0" w:line="360" w:lineRule="auto"/>
        <w:rPr>
          <w:rFonts w:ascii="Times New Roman" w:hAnsi="Times New Roman"/>
          <w:b w:val="0"/>
          <w:sz w:val="20"/>
        </w:rPr>
      </w:pPr>
      <w:bookmarkStart w:id="53" w:name="bookmark58"/>
      <w:bookmarkStart w:id="54" w:name="bookmark59"/>
      <w:r w:rsidRPr="00AB7B88">
        <w:rPr>
          <w:rStyle w:val="Heading2"/>
          <w:rFonts w:ascii="Times New Roman" w:hAnsi="Times New Roman"/>
          <w:b/>
          <w:color w:val="000000"/>
          <w:sz w:val="20"/>
          <w:lang w:eastAsia="es-ES_tradnl"/>
        </w:rPr>
        <w:t>Autorización ambiental</w:t>
      </w:r>
      <w:bookmarkEnd w:id="53"/>
      <w:bookmarkEnd w:id="54"/>
    </w:p>
    <w:p w14:paraId="014C07F8"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La legislación uruguaya exige la obtención de una autorización ambiental previa ("AAP") antes del despliegue de actividades de explotación minera. Las solicitudes de una AAP se deben enviar a la Dirección Nacional de Medio Ambiente ("DINAMA") y deben ir acompañadas de un estudio de impacto ambiental en el que se identifique todo riesgo que el proyecto en cuestión pueda presentar para el ambiente</w:t>
      </w:r>
      <w:r w:rsidRPr="00AB7B88">
        <w:rPr>
          <w:rStyle w:val="Bodytext"/>
          <w:color w:val="000000"/>
          <w:sz w:val="20"/>
          <w:vertAlign w:val="superscript"/>
          <w:lang w:eastAsia="es-ES_tradnl"/>
        </w:rPr>
        <w:footnoteReference w:id="82"/>
      </w:r>
      <w:r w:rsidRPr="00AB7B88">
        <w:rPr>
          <w:rStyle w:val="Bodytext"/>
          <w:color w:val="000000"/>
          <w:sz w:val="20"/>
          <w:lang w:val="es-AR" w:eastAsia="es-ES_tradnl"/>
        </w:rPr>
        <w:t>.</w:t>
      </w:r>
    </w:p>
    <w:p w14:paraId="5CDA5709"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El 5 de abril de 2011, Minera Aratirí presentó una solicitud para una AAP a la que acompañó el estudio de impacto ambiental fin</w:t>
      </w:r>
      <w:r w:rsidRPr="00AB7B88">
        <w:rPr>
          <w:color w:val="000000"/>
          <w:sz w:val="20"/>
          <w:u w:val="single"/>
          <w:lang w:val="es-AR" w:eastAsia="es-ES_tradnl"/>
        </w:rPr>
        <w:t>aliz</w:t>
      </w:r>
      <w:r w:rsidRPr="00AB7B88">
        <w:rPr>
          <w:rStyle w:val="Bodytext"/>
          <w:color w:val="000000"/>
          <w:sz w:val="20"/>
          <w:lang w:val="es-AR" w:eastAsia="es-ES_tradnl"/>
        </w:rPr>
        <w:t>ado</w:t>
      </w:r>
      <w:r w:rsidRPr="00AB7B88">
        <w:rPr>
          <w:rStyle w:val="Bodytext"/>
          <w:color w:val="000000"/>
          <w:sz w:val="20"/>
          <w:vertAlign w:val="superscript"/>
          <w:lang w:eastAsia="es-ES_tradnl"/>
        </w:rPr>
        <w:footnoteReference w:id="83"/>
      </w:r>
      <w:r w:rsidRPr="00AB7B88">
        <w:rPr>
          <w:rStyle w:val="Bodytext"/>
          <w:color w:val="000000"/>
          <w:sz w:val="20"/>
          <w:lang w:val="es-AR" w:eastAsia="es-ES_tradnl"/>
        </w:rPr>
        <w:t>. Años después, el 20 de agosto de 2014, Minera Aratirí presentó una actualización de la solicitud de AAP en respuesta a la relocalización de la Terminal Portuaria de La Angostura a El Palenque</w:t>
      </w:r>
      <w:r w:rsidRPr="00AB7B88">
        <w:rPr>
          <w:rStyle w:val="Bodytext"/>
          <w:color w:val="000000"/>
          <w:sz w:val="20"/>
          <w:vertAlign w:val="superscript"/>
          <w:lang w:eastAsia="es-ES_tradnl"/>
        </w:rPr>
        <w:footnoteReference w:id="84"/>
      </w:r>
      <w:r w:rsidRPr="00AB7B88">
        <w:rPr>
          <w:rStyle w:val="Bodytext"/>
          <w:color w:val="000000"/>
          <w:sz w:val="20"/>
          <w:lang w:val="es-AR" w:eastAsia="es-ES_tradnl"/>
        </w:rPr>
        <w:t>.</w:t>
      </w:r>
    </w:p>
    <w:p w14:paraId="3F49D8FA" w14:textId="77777777" w:rsidR="003B3957" w:rsidRPr="00AB7B88" w:rsidRDefault="003B3957" w:rsidP="000053F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 xml:space="preserve">DINAMA y una serie de representantes de Minera Aratirí intercambiaron correspondencia y participaron en </w:t>
      </w:r>
      <w:r w:rsidRPr="00AB7B88">
        <w:rPr>
          <w:rStyle w:val="Bodytext"/>
          <w:color w:val="000000"/>
          <w:sz w:val="20"/>
          <w:lang w:val="es-AR" w:eastAsia="es-ES_tradnl"/>
        </w:rPr>
        <w:lastRenderedPageBreak/>
        <w:t>numerosas reuniones sobre la solicitud de la AAP por parte de Minera Aratirí</w:t>
      </w:r>
      <w:r w:rsidRPr="00AB7B88">
        <w:rPr>
          <w:rStyle w:val="Bodytext"/>
          <w:color w:val="000000"/>
          <w:sz w:val="20"/>
          <w:vertAlign w:val="superscript"/>
          <w:lang w:eastAsia="es-ES_tradnl"/>
        </w:rPr>
        <w:footnoteReference w:id="85"/>
      </w:r>
      <w:r w:rsidRPr="00AB7B88">
        <w:rPr>
          <w:rStyle w:val="Bodytext"/>
          <w:color w:val="000000"/>
          <w:sz w:val="20"/>
          <w:lang w:val="es-AR" w:eastAsia="es-ES_tradnl"/>
        </w:rPr>
        <w:t>. En el curso de estas conversaciones, el Poder Ejecutivo de Uruguay destacó que la firma del Contrato de Concesión estaba condicionada a la obtención de la AAP</w:t>
      </w:r>
      <w:r w:rsidRPr="00AB7B88">
        <w:rPr>
          <w:rStyle w:val="Bodytext"/>
          <w:color w:val="000000"/>
          <w:sz w:val="20"/>
          <w:vertAlign w:val="superscript"/>
          <w:lang w:eastAsia="es-ES_tradnl"/>
        </w:rPr>
        <w:footnoteReference w:id="86"/>
      </w:r>
      <w:r w:rsidRPr="00AB7B88">
        <w:rPr>
          <w:rStyle w:val="Bodytext"/>
          <w:color w:val="000000"/>
          <w:sz w:val="20"/>
          <w:lang w:val="es-AR" w:eastAsia="es-ES_tradnl"/>
        </w:rPr>
        <w:t>. Finalmente, el plazo para que Minera Aratirí y el Gobierno de Uruguay concluyeran el Contrato de Concesión venció en noviembre de 2015</w:t>
      </w:r>
      <w:r w:rsidRPr="00AB7B88">
        <w:rPr>
          <w:rStyle w:val="Bodytext"/>
          <w:color w:val="000000"/>
          <w:sz w:val="20"/>
          <w:vertAlign w:val="superscript"/>
          <w:lang w:eastAsia="es-ES_tradnl"/>
        </w:rPr>
        <w:footnoteReference w:id="87"/>
      </w:r>
      <w:r w:rsidRPr="00AB7B88">
        <w:rPr>
          <w:rStyle w:val="Bodytext"/>
          <w:color w:val="000000"/>
          <w:sz w:val="20"/>
          <w:lang w:val="es-AR" w:eastAsia="es-ES_tradnl"/>
        </w:rPr>
        <w:t>. En aquel momento, Minera Aratirí aún no había logrado la aprobación de una solicitud para la obtención de una autorización ambiental</w:t>
      </w:r>
      <w:r w:rsidRPr="00AB7B88">
        <w:rPr>
          <w:rStyle w:val="Bodytext"/>
          <w:color w:val="000000"/>
          <w:sz w:val="20"/>
          <w:vertAlign w:val="superscript"/>
          <w:lang w:eastAsia="es-ES_tradnl"/>
        </w:rPr>
        <w:footnoteReference w:id="88"/>
      </w:r>
      <w:r w:rsidRPr="00AB7B88">
        <w:rPr>
          <w:rStyle w:val="Bodytext"/>
          <w:color w:val="000000"/>
          <w:sz w:val="20"/>
          <w:lang w:val="es-AR" w:eastAsia="es-ES_tradnl"/>
        </w:rPr>
        <w:t>.</w:t>
      </w:r>
    </w:p>
    <w:p w14:paraId="0F15B28F" w14:textId="77777777" w:rsidR="003B3957" w:rsidRPr="00AB7B88" w:rsidRDefault="003B3957" w:rsidP="007277D4">
      <w:pPr>
        <w:pStyle w:val="Heading20"/>
        <w:keepNext/>
        <w:keepLines/>
        <w:numPr>
          <w:ilvl w:val="0"/>
          <w:numId w:val="5"/>
        </w:numPr>
        <w:shd w:val="clear" w:color="auto" w:fill="auto"/>
        <w:tabs>
          <w:tab w:val="left" w:pos="425"/>
        </w:tabs>
        <w:spacing w:before="380" w:after="0" w:line="360" w:lineRule="auto"/>
        <w:ind w:firstLine="0"/>
        <w:rPr>
          <w:rFonts w:ascii="Times New Roman" w:hAnsi="Times New Roman"/>
          <w:b w:val="0"/>
          <w:sz w:val="20"/>
        </w:rPr>
      </w:pPr>
      <w:bookmarkStart w:id="55" w:name="bookmark60"/>
      <w:bookmarkStart w:id="56" w:name="bookmark61"/>
      <w:r w:rsidRPr="00AB7B88">
        <w:rPr>
          <w:rStyle w:val="Heading2"/>
          <w:rFonts w:ascii="Times New Roman" w:hAnsi="Times New Roman"/>
          <w:b/>
          <w:color w:val="000000"/>
          <w:sz w:val="20"/>
          <w:lang w:eastAsia="es-ES_tradnl"/>
        </w:rPr>
        <w:t>LAS PETICIONES DE LAS PARTES</w:t>
      </w:r>
      <w:bookmarkEnd w:id="55"/>
      <w:bookmarkEnd w:id="56"/>
    </w:p>
    <w:p w14:paraId="4E6FD338" w14:textId="77777777" w:rsidR="003B3957" w:rsidRPr="00AB7B88" w:rsidRDefault="003B3957" w:rsidP="007914F6">
      <w:pPr>
        <w:pStyle w:val="Heading20"/>
        <w:keepNext/>
        <w:keepLines/>
        <w:numPr>
          <w:ilvl w:val="0"/>
          <w:numId w:val="11"/>
        </w:numPr>
        <w:shd w:val="clear" w:color="auto" w:fill="auto"/>
        <w:tabs>
          <w:tab w:val="left" w:pos="425"/>
        </w:tabs>
        <w:spacing w:before="380" w:after="0" w:line="360" w:lineRule="auto"/>
        <w:ind w:firstLine="0"/>
        <w:rPr>
          <w:rFonts w:ascii="Times New Roman" w:hAnsi="Times New Roman"/>
          <w:b w:val="0"/>
          <w:sz w:val="20"/>
          <w:lang w:val="es-AR"/>
        </w:rPr>
      </w:pPr>
      <w:bookmarkStart w:id="57" w:name="bookmark62"/>
      <w:bookmarkStart w:id="58" w:name="bookmark63"/>
      <w:r w:rsidRPr="00AB7B88">
        <w:rPr>
          <w:rStyle w:val="Heading2"/>
          <w:rFonts w:ascii="Times New Roman" w:hAnsi="Times New Roman"/>
          <w:b/>
          <w:color w:val="000000"/>
          <w:sz w:val="20"/>
          <w:lang w:val="es-AR" w:eastAsia="es-ES_tradnl"/>
        </w:rPr>
        <w:t>Las Peticiones de los Demandantes</w:t>
      </w:r>
      <w:bookmarkEnd w:id="57"/>
      <w:bookmarkEnd w:id="58"/>
    </w:p>
    <w:p w14:paraId="3306D8D2" w14:textId="77777777" w:rsidR="003B3957" w:rsidRPr="00AB7B88" w:rsidRDefault="003B3957" w:rsidP="006715B7">
      <w:pPr>
        <w:pStyle w:val="Bodytext1"/>
        <w:numPr>
          <w:ilvl w:val="0"/>
          <w:numId w:val="6"/>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En su Escrito de Demanda, los Demandantes plantean las siguientes peticiones:</w:t>
      </w:r>
      <w:r w:rsidR="00280446" w:rsidRPr="00AB7B88">
        <w:rPr>
          <w:sz w:val="20"/>
          <w:lang w:val="es-AR"/>
        </w:rPr>
        <w:t xml:space="preserve"> </w:t>
      </w:r>
      <w:r w:rsidRPr="00AB7B88">
        <w:rPr>
          <w:rStyle w:val="Bodytext"/>
          <w:color w:val="000000"/>
          <w:sz w:val="20"/>
          <w:lang w:val="es-AR" w:eastAsia="es-ES_tradnl"/>
        </w:rPr>
        <w:t>Por todo lo expuesto en este Escrito de Demanda y en la presentación que lo acompaña, las Demandantes solicitan respetuosamente al Tribunal que les otorgue los siguientes remedios:</w:t>
      </w:r>
    </w:p>
    <w:p w14:paraId="28B8C316" w14:textId="77777777" w:rsidR="003B3957" w:rsidRPr="00AB7B88" w:rsidRDefault="003B3957" w:rsidP="006715B7">
      <w:pPr>
        <w:pStyle w:val="Bodytext1"/>
        <w:numPr>
          <w:ilvl w:val="0"/>
          <w:numId w:val="12"/>
        </w:numPr>
        <w:shd w:val="clear" w:color="auto" w:fill="auto"/>
        <w:tabs>
          <w:tab w:val="left" w:pos="993"/>
        </w:tabs>
        <w:spacing w:before="380" w:line="360" w:lineRule="auto"/>
        <w:ind w:left="522" w:firstLine="0"/>
        <w:jc w:val="both"/>
        <w:rPr>
          <w:sz w:val="20"/>
          <w:lang w:val="es-AR"/>
        </w:rPr>
      </w:pPr>
      <w:r w:rsidRPr="00AB7B88">
        <w:rPr>
          <w:rStyle w:val="Bodytext"/>
          <w:color w:val="000000"/>
          <w:sz w:val="20"/>
          <w:lang w:val="es-AR" w:eastAsia="es-ES_tradnl"/>
        </w:rPr>
        <w:t>una declaración en la que el Tribunal manifieste que tiene competencia para conocer en la presente controversia;</w:t>
      </w:r>
    </w:p>
    <w:p w14:paraId="5320F1D1" w14:textId="77777777" w:rsidR="003B3957" w:rsidRPr="00AB7B88" w:rsidRDefault="003B3957" w:rsidP="006715B7">
      <w:pPr>
        <w:pStyle w:val="Bodytext1"/>
        <w:numPr>
          <w:ilvl w:val="0"/>
          <w:numId w:val="12"/>
        </w:numPr>
        <w:shd w:val="clear" w:color="auto" w:fill="auto"/>
        <w:tabs>
          <w:tab w:val="left" w:pos="993"/>
        </w:tabs>
        <w:spacing w:before="380" w:line="360" w:lineRule="auto"/>
        <w:ind w:left="522" w:firstLine="0"/>
        <w:jc w:val="both"/>
        <w:rPr>
          <w:sz w:val="20"/>
          <w:lang w:val="es-AR"/>
        </w:rPr>
      </w:pPr>
      <w:r w:rsidRPr="00AB7B88">
        <w:rPr>
          <w:rStyle w:val="Bodytext"/>
          <w:color w:val="000000"/>
          <w:sz w:val="20"/>
          <w:lang w:val="es-AR" w:eastAsia="es-ES_tradnl"/>
        </w:rPr>
        <w:t>una declaración en la que manifieste que Uruguay ha violado el Tratado y el derecho internacional con respecto a las inversiones de las Demandantes en ese país;</w:t>
      </w:r>
    </w:p>
    <w:p w14:paraId="31E9BC10" w14:textId="77777777" w:rsidR="003B3957" w:rsidRPr="00AB7B88" w:rsidRDefault="003B3957" w:rsidP="000B0C18">
      <w:pPr>
        <w:pStyle w:val="Bodytext1"/>
        <w:numPr>
          <w:ilvl w:val="0"/>
          <w:numId w:val="12"/>
        </w:numPr>
        <w:shd w:val="clear" w:color="auto" w:fill="auto"/>
        <w:tabs>
          <w:tab w:val="left" w:pos="993"/>
        </w:tabs>
        <w:spacing w:before="380" w:line="360" w:lineRule="auto"/>
        <w:ind w:left="522" w:firstLine="0"/>
        <w:jc w:val="both"/>
        <w:rPr>
          <w:sz w:val="20"/>
          <w:lang w:val="es-AR"/>
        </w:rPr>
      </w:pPr>
      <w:r w:rsidRPr="00AB7B88">
        <w:rPr>
          <w:rStyle w:val="Bodytext"/>
          <w:color w:val="000000"/>
          <w:sz w:val="20"/>
          <w:lang w:val="es-AR" w:eastAsia="es-ES_tradnl"/>
        </w:rPr>
        <w:t>una indemnización a las Demandantes por los daños y perjuicios sufridos que se han detallado en esta presentación y que se desarrollarán y cuantificarán con mayor detalle en el transcurso de este procedimiento;</w:t>
      </w:r>
    </w:p>
    <w:p w14:paraId="6EE0832F" w14:textId="77777777" w:rsidR="003B3957" w:rsidRPr="00AB7B88" w:rsidRDefault="003B3957" w:rsidP="000B0C18">
      <w:pPr>
        <w:pStyle w:val="Bodytext1"/>
        <w:numPr>
          <w:ilvl w:val="0"/>
          <w:numId w:val="12"/>
        </w:numPr>
        <w:shd w:val="clear" w:color="auto" w:fill="auto"/>
        <w:tabs>
          <w:tab w:val="left" w:pos="993"/>
        </w:tabs>
        <w:spacing w:before="380" w:line="360" w:lineRule="auto"/>
        <w:ind w:left="522" w:firstLine="0"/>
        <w:jc w:val="both"/>
        <w:rPr>
          <w:sz w:val="20"/>
          <w:lang w:val="es-AR"/>
        </w:rPr>
      </w:pPr>
      <w:r w:rsidRPr="00AB7B88">
        <w:rPr>
          <w:rStyle w:val="Bodytext"/>
          <w:color w:val="000000"/>
          <w:sz w:val="20"/>
          <w:lang w:val="es-AR" w:eastAsia="es-ES_tradnl"/>
        </w:rPr>
        <w:t>la totalidad de las costas y los gastos en que hayan incurrido las Demandantes en este procedimiento, incluidos, entre otros, los honorarios y gastos de sus abogados y los gastos del Tribunal;</w:t>
      </w:r>
    </w:p>
    <w:p w14:paraId="361585F4" w14:textId="77777777" w:rsidR="003B3957" w:rsidRPr="00AB7B88" w:rsidRDefault="003B3957" w:rsidP="0076344D">
      <w:pPr>
        <w:pStyle w:val="Bodytext1"/>
        <w:numPr>
          <w:ilvl w:val="0"/>
          <w:numId w:val="12"/>
        </w:numPr>
        <w:shd w:val="clear" w:color="auto" w:fill="auto"/>
        <w:tabs>
          <w:tab w:val="left" w:pos="993"/>
        </w:tabs>
        <w:spacing w:before="380" w:line="360" w:lineRule="auto"/>
        <w:ind w:left="522" w:firstLine="0"/>
        <w:jc w:val="both"/>
        <w:rPr>
          <w:sz w:val="20"/>
          <w:lang w:val="es-AR"/>
        </w:rPr>
      </w:pPr>
      <w:r w:rsidRPr="00AB7B88">
        <w:rPr>
          <w:rStyle w:val="Bodytext"/>
          <w:color w:val="000000"/>
          <w:sz w:val="20"/>
          <w:lang w:val="es-AR" w:eastAsia="es-ES_tradnl"/>
        </w:rPr>
        <w:lastRenderedPageBreak/>
        <w:t>intereses anteriores y posteriores al laudo capitalizados en forma compuesta a las tasas solicitadas en esta presentación hasta la fecha en que Uruguay abone en su totalidad el monto del laudo que el Tribunal disponga;</w:t>
      </w:r>
    </w:p>
    <w:p w14:paraId="72C0C06C" w14:textId="77777777" w:rsidR="003B3957" w:rsidRPr="00AB7B88" w:rsidRDefault="003B3957" w:rsidP="0076344D">
      <w:pPr>
        <w:pStyle w:val="Bodytext1"/>
        <w:numPr>
          <w:ilvl w:val="0"/>
          <w:numId w:val="12"/>
        </w:numPr>
        <w:shd w:val="clear" w:color="auto" w:fill="auto"/>
        <w:tabs>
          <w:tab w:val="left" w:pos="993"/>
        </w:tabs>
        <w:spacing w:before="380" w:line="360" w:lineRule="auto"/>
        <w:ind w:left="522" w:firstLine="0"/>
        <w:jc w:val="both"/>
        <w:rPr>
          <w:rStyle w:val="Bodytext"/>
          <w:sz w:val="20"/>
          <w:lang w:val="es-AR"/>
        </w:rPr>
      </w:pPr>
      <w:r w:rsidRPr="00AB7B88">
        <w:rPr>
          <w:rStyle w:val="Bodytext"/>
          <w:color w:val="000000"/>
          <w:sz w:val="20"/>
          <w:lang w:val="es-AR" w:eastAsia="es-ES_tradnl"/>
        </w:rPr>
        <w:t>una orden expresa de que las sumas otorgadas a las Demandantes no estarán sujetas a tributo ni a compensación de ninguna índole en Uruguay; y</w:t>
      </w:r>
    </w:p>
    <w:p w14:paraId="67A2E6D1" w14:textId="77777777" w:rsidR="003B3957" w:rsidRPr="00AB7B88" w:rsidRDefault="003B3957" w:rsidP="0076344D">
      <w:pPr>
        <w:pStyle w:val="Bodytext1"/>
        <w:numPr>
          <w:ilvl w:val="0"/>
          <w:numId w:val="12"/>
        </w:numPr>
        <w:shd w:val="clear" w:color="auto" w:fill="auto"/>
        <w:tabs>
          <w:tab w:val="left" w:pos="993"/>
        </w:tabs>
        <w:spacing w:before="380" w:line="360" w:lineRule="auto"/>
        <w:ind w:left="522" w:firstLine="0"/>
        <w:jc w:val="both"/>
        <w:rPr>
          <w:sz w:val="20"/>
          <w:lang w:val="es-AR"/>
        </w:rPr>
      </w:pPr>
      <w:r w:rsidRPr="00AB7B88">
        <w:rPr>
          <w:rStyle w:val="Bodytext"/>
          <w:color w:val="000000"/>
          <w:sz w:val="20"/>
          <w:lang w:val="es-AR" w:eastAsia="es-ES_tradnl"/>
        </w:rPr>
        <w:t>toda otra reparación que el Tribunal considere justa y adecuada</w:t>
      </w:r>
      <w:r w:rsidRPr="00AB7B88">
        <w:rPr>
          <w:rStyle w:val="Bodytext"/>
          <w:color w:val="000000"/>
          <w:sz w:val="20"/>
          <w:vertAlign w:val="superscript"/>
          <w:lang w:eastAsia="es-ES_tradnl"/>
        </w:rPr>
        <w:footnoteReference w:id="89"/>
      </w:r>
      <w:r w:rsidRPr="00AB7B88">
        <w:rPr>
          <w:rStyle w:val="Bodytext"/>
          <w:color w:val="000000"/>
          <w:sz w:val="20"/>
          <w:lang w:val="es-AR" w:eastAsia="es-ES_tradnl"/>
        </w:rPr>
        <w:t>.</w:t>
      </w:r>
    </w:p>
    <w:p w14:paraId="6F7DDC3B" w14:textId="77777777" w:rsidR="00E35650" w:rsidRPr="00AB7B88" w:rsidRDefault="003B3957" w:rsidP="000053F7">
      <w:pPr>
        <w:pStyle w:val="Bodytext1"/>
        <w:numPr>
          <w:ilvl w:val="0"/>
          <w:numId w:val="6"/>
        </w:numPr>
        <w:shd w:val="clear" w:color="auto" w:fill="auto"/>
        <w:tabs>
          <w:tab w:val="left" w:pos="758"/>
        </w:tabs>
        <w:spacing w:before="380" w:line="360" w:lineRule="auto"/>
        <w:ind w:left="522" w:hanging="522"/>
        <w:rPr>
          <w:sz w:val="20"/>
          <w:lang w:val="es-AR"/>
        </w:rPr>
      </w:pPr>
      <w:r w:rsidRPr="00AB7B88">
        <w:rPr>
          <w:rStyle w:val="Bodytext"/>
          <w:color w:val="000000"/>
          <w:sz w:val="20"/>
          <w:lang w:val="es-AR" w:eastAsia="es-ES_tradnl"/>
        </w:rPr>
        <w:t>En su Escrito de Contestación (Jurisdicción) y Duplica (Jurisdicción), los Demandantes plantean las siguientes peticiones:</w:t>
      </w:r>
    </w:p>
    <w:p w14:paraId="4A76AA63" w14:textId="77777777" w:rsidR="003B3957" w:rsidRPr="00AB7B88" w:rsidRDefault="003B3957" w:rsidP="00E35650">
      <w:pPr>
        <w:pStyle w:val="Bodytext1"/>
        <w:shd w:val="clear" w:color="auto" w:fill="auto"/>
        <w:tabs>
          <w:tab w:val="left" w:pos="758"/>
        </w:tabs>
        <w:spacing w:before="0" w:line="360" w:lineRule="auto"/>
        <w:ind w:left="522" w:firstLine="0"/>
        <w:rPr>
          <w:sz w:val="20"/>
          <w:lang w:val="es-AR"/>
        </w:rPr>
      </w:pPr>
      <w:r w:rsidRPr="00AB7B88">
        <w:rPr>
          <w:rStyle w:val="Bodytext"/>
          <w:color w:val="000000"/>
          <w:sz w:val="20"/>
          <w:lang w:val="es-AR" w:eastAsia="es-ES_tradnl"/>
        </w:rPr>
        <w:t>Por los motivos aquí expuestos, los Demandantes respetuosamente solicitan a este Tribunal que:</w:t>
      </w:r>
    </w:p>
    <w:p w14:paraId="4573619F" w14:textId="77777777" w:rsidR="003B3957" w:rsidRPr="00AB7B88" w:rsidRDefault="003B3957" w:rsidP="00FF715F">
      <w:pPr>
        <w:pStyle w:val="Bodytext1"/>
        <w:numPr>
          <w:ilvl w:val="0"/>
          <w:numId w:val="13"/>
        </w:numPr>
        <w:shd w:val="clear" w:color="auto" w:fill="auto"/>
        <w:tabs>
          <w:tab w:val="left" w:pos="992"/>
        </w:tabs>
        <w:spacing w:before="380" w:line="360" w:lineRule="auto"/>
        <w:ind w:left="522" w:firstLine="0"/>
        <w:jc w:val="both"/>
        <w:rPr>
          <w:sz w:val="20"/>
          <w:lang w:val="es-AR"/>
        </w:rPr>
      </w:pPr>
      <w:r w:rsidRPr="00AB7B88">
        <w:rPr>
          <w:rStyle w:val="Bodytext"/>
          <w:color w:val="000000"/>
          <w:sz w:val="20"/>
          <w:lang w:val="es-AR" w:eastAsia="es-ES_tradnl"/>
        </w:rPr>
        <w:t>rechace en su totalidad las objeciones formuladas por Uruguay respecto de la jurisdicción del Tribunal y la legitimación de los Demandantes;</w:t>
      </w:r>
    </w:p>
    <w:p w14:paraId="7674D970" w14:textId="77777777" w:rsidR="003B3957" w:rsidRPr="00AB7B88" w:rsidRDefault="003B3957" w:rsidP="00FF715F">
      <w:pPr>
        <w:pStyle w:val="Bodytext1"/>
        <w:numPr>
          <w:ilvl w:val="0"/>
          <w:numId w:val="13"/>
        </w:numPr>
        <w:shd w:val="clear" w:color="auto" w:fill="auto"/>
        <w:tabs>
          <w:tab w:val="left" w:pos="992"/>
        </w:tabs>
        <w:spacing w:before="380" w:line="360" w:lineRule="auto"/>
        <w:ind w:left="522" w:firstLine="0"/>
        <w:jc w:val="both"/>
        <w:rPr>
          <w:sz w:val="20"/>
          <w:lang w:val="es-AR"/>
        </w:rPr>
      </w:pPr>
      <w:r w:rsidRPr="00AB7B88">
        <w:rPr>
          <w:rStyle w:val="Bodytext"/>
          <w:color w:val="000000"/>
          <w:sz w:val="20"/>
          <w:lang w:val="es-AR" w:eastAsia="es-ES_tradnl"/>
        </w:rPr>
        <w:t>declare que el Tribunal tiene jurisdicción para entender en la totalidad de la controversia suscitada con Uruguay en virtud del Tratado y que los Demandantes se encuentran legitimados en relación con ella;</w:t>
      </w:r>
    </w:p>
    <w:p w14:paraId="7BC6A53B" w14:textId="77777777" w:rsidR="003B3957" w:rsidRPr="00AB7B88" w:rsidRDefault="003B3957" w:rsidP="00FF715F">
      <w:pPr>
        <w:pStyle w:val="Bodytext1"/>
        <w:numPr>
          <w:ilvl w:val="0"/>
          <w:numId w:val="13"/>
        </w:numPr>
        <w:shd w:val="clear" w:color="auto" w:fill="auto"/>
        <w:tabs>
          <w:tab w:val="left" w:pos="992"/>
        </w:tabs>
        <w:spacing w:before="380" w:line="360" w:lineRule="auto"/>
        <w:ind w:left="522" w:firstLine="0"/>
        <w:jc w:val="both"/>
        <w:rPr>
          <w:sz w:val="20"/>
          <w:lang w:val="es-AR"/>
        </w:rPr>
      </w:pPr>
      <w:r w:rsidRPr="00AB7B88">
        <w:rPr>
          <w:rStyle w:val="Bodytext"/>
          <w:color w:val="000000"/>
          <w:sz w:val="20"/>
          <w:lang w:val="es-AR" w:eastAsia="es-ES_tradnl"/>
        </w:rPr>
        <w:t>ordene al Uruguay que abone a los Demandantes todos los costos asociados a la contestación a las objeciones a la jurisdicción y la legitimación de Uruguay, incluidos, sin carácter taxativo, los gastos y honorarios legales de los Demandantes, los gastos y honorarios de sus expertos y los gastos y las costas del Tribunal;</w:t>
      </w:r>
    </w:p>
    <w:p w14:paraId="0EBDB8E8" w14:textId="77777777" w:rsidR="003B3957" w:rsidRPr="00AB7B88" w:rsidRDefault="003B3957" w:rsidP="00FF715F">
      <w:pPr>
        <w:pStyle w:val="Bodytext1"/>
        <w:numPr>
          <w:ilvl w:val="0"/>
          <w:numId w:val="13"/>
        </w:numPr>
        <w:shd w:val="clear" w:color="auto" w:fill="auto"/>
        <w:tabs>
          <w:tab w:val="left" w:pos="992"/>
        </w:tabs>
        <w:spacing w:before="380" w:line="360" w:lineRule="auto"/>
        <w:ind w:left="522" w:firstLine="0"/>
        <w:jc w:val="both"/>
        <w:rPr>
          <w:sz w:val="20"/>
          <w:lang w:val="es-AR"/>
        </w:rPr>
      </w:pPr>
      <w:r w:rsidRPr="00AB7B88">
        <w:rPr>
          <w:rStyle w:val="Bodytext"/>
          <w:color w:val="000000"/>
          <w:sz w:val="20"/>
          <w:lang w:val="es-AR" w:eastAsia="es-ES_tradnl"/>
        </w:rPr>
        <w:t>ordene cualquier otra medida resarcitoria que el Tribunal considere justa y adecuada</w:t>
      </w:r>
      <w:r w:rsidRPr="00AB7B88">
        <w:rPr>
          <w:rStyle w:val="Bodytext"/>
          <w:color w:val="000000"/>
          <w:sz w:val="20"/>
          <w:vertAlign w:val="superscript"/>
          <w:lang w:eastAsia="es-ES_tradnl"/>
        </w:rPr>
        <w:footnoteReference w:id="90"/>
      </w:r>
      <w:r w:rsidRPr="00AB7B88">
        <w:rPr>
          <w:rStyle w:val="Bodytext"/>
          <w:color w:val="000000"/>
          <w:sz w:val="20"/>
          <w:lang w:val="es-AR" w:eastAsia="es-ES_tradnl"/>
        </w:rPr>
        <w:t>.</w:t>
      </w:r>
    </w:p>
    <w:p w14:paraId="1F6B421F" w14:textId="77777777" w:rsidR="003B3957" w:rsidRPr="00AB7B88" w:rsidRDefault="003B3957" w:rsidP="00992482">
      <w:pPr>
        <w:pStyle w:val="Heading20"/>
        <w:keepNext/>
        <w:keepLines/>
        <w:numPr>
          <w:ilvl w:val="0"/>
          <w:numId w:val="11"/>
        </w:numPr>
        <w:shd w:val="clear" w:color="auto" w:fill="auto"/>
        <w:tabs>
          <w:tab w:val="left" w:pos="340"/>
        </w:tabs>
        <w:spacing w:before="380" w:after="0" w:line="360" w:lineRule="auto"/>
        <w:ind w:left="522" w:hanging="522"/>
        <w:rPr>
          <w:rFonts w:ascii="Times New Roman" w:hAnsi="Times New Roman"/>
          <w:b w:val="0"/>
          <w:sz w:val="20"/>
        </w:rPr>
      </w:pPr>
      <w:bookmarkStart w:id="59" w:name="bookmark64"/>
      <w:r w:rsidRPr="00AB7B88">
        <w:rPr>
          <w:rStyle w:val="Heading2"/>
          <w:rFonts w:ascii="Times New Roman" w:hAnsi="Times New Roman"/>
          <w:b/>
          <w:color w:val="000000"/>
          <w:sz w:val="20"/>
          <w:lang w:eastAsia="es-ES_tradnl"/>
        </w:rPr>
        <w:t>Las Peticiones de La Demandada</w:t>
      </w:r>
      <w:bookmarkEnd w:id="59"/>
    </w:p>
    <w:p w14:paraId="70D46EAF" w14:textId="77777777" w:rsidR="00C6467B" w:rsidRPr="00AB7B88" w:rsidRDefault="003B3957" w:rsidP="000053F7">
      <w:pPr>
        <w:pStyle w:val="Bodytext1"/>
        <w:numPr>
          <w:ilvl w:val="0"/>
          <w:numId w:val="6"/>
        </w:numPr>
        <w:shd w:val="clear" w:color="auto" w:fill="auto"/>
        <w:tabs>
          <w:tab w:val="left" w:pos="738"/>
        </w:tabs>
        <w:spacing w:before="380" w:line="360" w:lineRule="auto"/>
        <w:ind w:left="522" w:hanging="522"/>
        <w:rPr>
          <w:sz w:val="20"/>
          <w:lang w:val="es-AR"/>
        </w:rPr>
      </w:pPr>
      <w:r w:rsidRPr="00AB7B88">
        <w:rPr>
          <w:rStyle w:val="Bodytext"/>
          <w:color w:val="000000"/>
          <w:sz w:val="20"/>
          <w:lang w:val="es-AR" w:eastAsia="es-ES_tradnl"/>
        </w:rPr>
        <w:t>En su Memorial (Jurisdicción), la Demandada plantea las siguientes peticiones:</w:t>
      </w:r>
    </w:p>
    <w:p w14:paraId="20A71E18" w14:textId="77777777" w:rsidR="003B3957" w:rsidRPr="00AB7B88" w:rsidRDefault="003B3957" w:rsidP="00C6467B">
      <w:pPr>
        <w:pStyle w:val="Bodytext1"/>
        <w:shd w:val="clear" w:color="auto" w:fill="auto"/>
        <w:tabs>
          <w:tab w:val="left" w:pos="738"/>
        </w:tabs>
        <w:spacing w:before="0" w:line="360" w:lineRule="auto"/>
        <w:ind w:left="522" w:firstLine="0"/>
        <w:rPr>
          <w:sz w:val="20"/>
          <w:lang w:val="es-AR"/>
        </w:rPr>
      </w:pPr>
      <w:r w:rsidRPr="00AB7B88">
        <w:rPr>
          <w:rStyle w:val="Bodytext"/>
          <w:color w:val="000000"/>
          <w:sz w:val="20"/>
          <w:lang w:val="es-AR" w:eastAsia="es-ES_tradnl"/>
        </w:rPr>
        <w:t>Por todas las razones precedentes, Uruguay respetuosamente solicita que este Tribunal dicte un laudo:</w:t>
      </w:r>
    </w:p>
    <w:p w14:paraId="463A5590" w14:textId="77777777" w:rsidR="003B3957" w:rsidRPr="00AB7B88" w:rsidRDefault="003B3957" w:rsidP="00CE1511">
      <w:pPr>
        <w:pStyle w:val="Bodytext1"/>
        <w:numPr>
          <w:ilvl w:val="0"/>
          <w:numId w:val="66"/>
        </w:numPr>
        <w:shd w:val="clear" w:color="auto" w:fill="auto"/>
        <w:tabs>
          <w:tab w:val="left" w:pos="993"/>
        </w:tabs>
        <w:spacing w:before="380" w:line="360" w:lineRule="auto"/>
        <w:ind w:left="522" w:firstLine="0"/>
        <w:jc w:val="both"/>
        <w:rPr>
          <w:sz w:val="20"/>
          <w:lang w:val="es-AR"/>
        </w:rPr>
      </w:pPr>
      <w:r w:rsidRPr="00AB7B88">
        <w:rPr>
          <w:rStyle w:val="Bodytext"/>
          <w:color w:val="000000"/>
          <w:sz w:val="20"/>
          <w:lang w:val="es-AR" w:eastAsia="es-ES_tradnl"/>
        </w:rPr>
        <w:lastRenderedPageBreak/>
        <w:t>en favor de Uruguay y contra las Demandantes, en el que desestime los reclamos de las Demandantes por falta de jurisdicción en su totalidad y sin derecho a apelar; y</w:t>
      </w:r>
    </w:p>
    <w:p w14:paraId="46F13CCB" w14:textId="77777777" w:rsidR="003B3957" w:rsidRPr="00AB7B88" w:rsidRDefault="003B3957" w:rsidP="006A2658">
      <w:pPr>
        <w:pStyle w:val="Bodytext1"/>
        <w:numPr>
          <w:ilvl w:val="0"/>
          <w:numId w:val="66"/>
        </w:numPr>
        <w:shd w:val="clear" w:color="auto" w:fill="auto"/>
        <w:tabs>
          <w:tab w:val="left" w:pos="993"/>
        </w:tabs>
        <w:spacing w:before="380" w:line="360" w:lineRule="auto"/>
        <w:ind w:left="522" w:firstLine="0"/>
        <w:jc w:val="both"/>
        <w:rPr>
          <w:sz w:val="20"/>
          <w:lang w:val="es-AR"/>
        </w:rPr>
      </w:pPr>
      <w:r w:rsidRPr="00AB7B88">
        <w:rPr>
          <w:rStyle w:val="Bodytext"/>
          <w:color w:val="000000"/>
          <w:sz w:val="20"/>
          <w:lang w:val="es-AR" w:eastAsia="es-ES_tradnl"/>
        </w:rPr>
        <w:t xml:space="preserve">que ordene que las Demandantes cubran todas los costos </w:t>
      </w:r>
      <w:r w:rsidRPr="00AB7B88">
        <w:rPr>
          <w:rStyle w:val="BodytextItalic"/>
          <w:color w:val="000000"/>
          <w:sz w:val="20"/>
          <w:lang w:val="es-AR" w:eastAsia="es-ES_tradnl"/>
        </w:rPr>
        <w:t>(sic)</w:t>
      </w:r>
      <w:r w:rsidRPr="00AB7B88">
        <w:rPr>
          <w:rStyle w:val="Bodytext"/>
          <w:color w:val="000000"/>
          <w:sz w:val="20"/>
          <w:lang w:val="es-AR" w:eastAsia="es-ES_tradnl"/>
        </w:rPr>
        <w:t xml:space="preserve"> de este arbitraje, incluidas las costas de Uruguay por representación y asistencia jurídica</w:t>
      </w:r>
      <w:r w:rsidRPr="00AB7B88">
        <w:rPr>
          <w:rStyle w:val="Bodytext"/>
          <w:color w:val="000000"/>
          <w:sz w:val="20"/>
          <w:vertAlign w:val="superscript"/>
          <w:lang w:eastAsia="es-ES_tradnl"/>
        </w:rPr>
        <w:footnoteReference w:id="91"/>
      </w:r>
      <w:r w:rsidRPr="00AB7B88">
        <w:rPr>
          <w:rStyle w:val="Bodytext"/>
          <w:color w:val="000000"/>
          <w:sz w:val="20"/>
          <w:lang w:val="es-AR" w:eastAsia="es-ES_tradnl"/>
        </w:rPr>
        <w:t>.</w:t>
      </w:r>
    </w:p>
    <w:p w14:paraId="2FB61C87" w14:textId="77777777" w:rsidR="00BF7EAB" w:rsidRPr="00AB7B88" w:rsidRDefault="003B3957" w:rsidP="000053F7">
      <w:pPr>
        <w:pStyle w:val="Bodytext1"/>
        <w:numPr>
          <w:ilvl w:val="0"/>
          <w:numId w:val="6"/>
        </w:numPr>
        <w:shd w:val="clear" w:color="auto" w:fill="auto"/>
        <w:tabs>
          <w:tab w:val="left" w:pos="738"/>
        </w:tabs>
        <w:spacing w:before="380" w:line="360" w:lineRule="auto"/>
        <w:ind w:left="522" w:hanging="522"/>
        <w:rPr>
          <w:sz w:val="20"/>
          <w:lang w:val="es-AR"/>
        </w:rPr>
      </w:pPr>
      <w:r w:rsidRPr="00AB7B88">
        <w:rPr>
          <w:rStyle w:val="Bodytext"/>
          <w:color w:val="000000"/>
          <w:sz w:val="20"/>
          <w:lang w:val="es-AR" w:eastAsia="es-ES_tradnl"/>
        </w:rPr>
        <w:t>En su Réplica (Jurisdicción), la Demandada plantea las siguientes peticiones:</w:t>
      </w:r>
    </w:p>
    <w:p w14:paraId="78712648" w14:textId="77777777" w:rsidR="003B3957" w:rsidRPr="00AB7B88" w:rsidRDefault="003B3957" w:rsidP="00BF7EAB">
      <w:pPr>
        <w:pStyle w:val="Bodytext1"/>
        <w:shd w:val="clear" w:color="auto" w:fill="auto"/>
        <w:tabs>
          <w:tab w:val="left" w:pos="738"/>
        </w:tabs>
        <w:spacing w:before="0" w:line="360" w:lineRule="auto"/>
        <w:ind w:left="522" w:firstLine="0"/>
        <w:rPr>
          <w:sz w:val="20"/>
          <w:lang w:val="es-AR"/>
        </w:rPr>
      </w:pPr>
      <w:r w:rsidRPr="00AB7B88">
        <w:rPr>
          <w:rStyle w:val="Bodytext"/>
          <w:color w:val="000000"/>
          <w:sz w:val="20"/>
          <w:lang w:val="es-AR" w:eastAsia="es-ES_tradnl"/>
        </w:rPr>
        <w:t>Por cada una de las razones antes expuestas, Uruguay solicita respetuosamente que</w:t>
      </w:r>
    </w:p>
    <w:p w14:paraId="27D67DB0" w14:textId="77777777" w:rsidR="003B3957" w:rsidRPr="00AB7B88" w:rsidRDefault="003B3957" w:rsidP="009F765E">
      <w:pPr>
        <w:pStyle w:val="Bodytext1"/>
        <w:shd w:val="clear" w:color="auto" w:fill="auto"/>
        <w:spacing w:before="380" w:line="360" w:lineRule="auto"/>
        <w:ind w:left="522" w:firstLine="0"/>
        <w:jc w:val="both"/>
        <w:rPr>
          <w:sz w:val="20"/>
          <w:lang w:val="es-AR"/>
        </w:rPr>
      </w:pPr>
      <w:r w:rsidRPr="00AB7B88">
        <w:rPr>
          <w:rStyle w:val="Bodytext"/>
          <w:color w:val="000000"/>
          <w:sz w:val="20"/>
          <w:lang w:val="es-AR" w:eastAsia="es-ES_tradnl"/>
        </w:rPr>
        <w:t>este Tribunal dicte un laudo:</w:t>
      </w:r>
    </w:p>
    <w:p w14:paraId="6AA08135" w14:textId="77777777" w:rsidR="003B3957" w:rsidRPr="00AB7B88" w:rsidRDefault="003B3957" w:rsidP="00337469">
      <w:pPr>
        <w:pStyle w:val="Bodytext1"/>
        <w:numPr>
          <w:ilvl w:val="0"/>
          <w:numId w:val="67"/>
        </w:numPr>
        <w:shd w:val="clear" w:color="auto" w:fill="auto"/>
        <w:tabs>
          <w:tab w:val="left" w:pos="993"/>
        </w:tabs>
        <w:spacing w:before="380" w:line="360" w:lineRule="auto"/>
        <w:ind w:left="522" w:firstLine="0"/>
        <w:jc w:val="both"/>
        <w:rPr>
          <w:sz w:val="20"/>
          <w:lang w:val="es-AR"/>
        </w:rPr>
      </w:pPr>
      <w:r w:rsidRPr="00AB7B88">
        <w:rPr>
          <w:rStyle w:val="Bodytext"/>
          <w:color w:val="000000"/>
          <w:sz w:val="20"/>
          <w:lang w:val="es-AR" w:eastAsia="es-ES_tradnl"/>
        </w:rPr>
        <w:t>en favor de Uruguay y en contra de las Demandantes, desestimando los reclamos de las Demandantes por falta de jurisdicción y como un abuso de proceso o derecho en su totalidad y con perjuicio; y</w:t>
      </w:r>
    </w:p>
    <w:p w14:paraId="2A89B7E8" w14:textId="77777777" w:rsidR="003B3957" w:rsidRPr="00AB7B88" w:rsidRDefault="003B3957" w:rsidP="00337469">
      <w:pPr>
        <w:pStyle w:val="Bodytext1"/>
        <w:numPr>
          <w:ilvl w:val="0"/>
          <w:numId w:val="67"/>
        </w:numPr>
        <w:shd w:val="clear" w:color="auto" w:fill="auto"/>
        <w:tabs>
          <w:tab w:val="left" w:pos="993"/>
        </w:tabs>
        <w:spacing w:before="380" w:line="360" w:lineRule="auto"/>
        <w:ind w:left="522" w:firstLine="0"/>
        <w:jc w:val="both"/>
        <w:rPr>
          <w:sz w:val="20"/>
          <w:lang w:val="es-AR"/>
        </w:rPr>
      </w:pPr>
      <w:r w:rsidRPr="00AB7B88">
        <w:rPr>
          <w:rStyle w:val="Bodytext"/>
          <w:color w:val="000000"/>
          <w:sz w:val="20"/>
          <w:lang w:val="es-AR" w:eastAsia="es-ES_tradnl"/>
        </w:rPr>
        <w:t>que ordene a las Demandantes asumir todas las costas pertinentes a este arbitraje, incluidas las costas legales de representación y asistencia de Uruguay, con interés</w:t>
      </w:r>
      <w:r w:rsidRPr="00AB7B88">
        <w:rPr>
          <w:rStyle w:val="Bodytext"/>
          <w:color w:val="000000"/>
          <w:sz w:val="20"/>
          <w:vertAlign w:val="superscript"/>
          <w:lang w:eastAsia="es-ES_tradnl"/>
        </w:rPr>
        <w:footnoteReference w:id="92"/>
      </w:r>
      <w:r w:rsidRPr="00AB7B88">
        <w:rPr>
          <w:rStyle w:val="Bodytext"/>
          <w:color w:val="000000"/>
          <w:sz w:val="20"/>
          <w:lang w:val="es-AR" w:eastAsia="es-ES_tradnl"/>
        </w:rPr>
        <w:t>.</w:t>
      </w:r>
    </w:p>
    <w:p w14:paraId="0060F71B" w14:textId="77777777" w:rsidR="000E2C06" w:rsidRPr="00AB7B88" w:rsidRDefault="003B3957" w:rsidP="00F82A98">
      <w:pPr>
        <w:pStyle w:val="Bodytext1"/>
        <w:numPr>
          <w:ilvl w:val="0"/>
          <w:numId w:val="6"/>
        </w:numPr>
        <w:shd w:val="clear" w:color="auto" w:fill="auto"/>
        <w:spacing w:before="380" w:line="360" w:lineRule="auto"/>
        <w:ind w:left="522" w:hanging="522"/>
        <w:rPr>
          <w:sz w:val="20"/>
          <w:lang w:val="es-AR"/>
        </w:rPr>
      </w:pPr>
      <w:r w:rsidRPr="00AB7B88">
        <w:rPr>
          <w:rStyle w:val="Bodytext"/>
          <w:color w:val="000000"/>
          <w:sz w:val="20"/>
          <w:lang w:val="es-AR" w:eastAsia="es-ES_tradnl"/>
        </w:rPr>
        <w:t>En su Escrito de Contestación (Fondo) y Dúplica (Jurisdicción), la Demandada plantea las siguientes peticiones:</w:t>
      </w:r>
    </w:p>
    <w:p w14:paraId="22F486A6" w14:textId="77777777" w:rsidR="003B3957" w:rsidRPr="00AB7B88" w:rsidRDefault="003B3957" w:rsidP="000E2C06">
      <w:pPr>
        <w:pStyle w:val="Bodytext1"/>
        <w:shd w:val="clear" w:color="auto" w:fill="auto"/>
        <w:tabs>
          <w:tab w:val="left" w:pos="738"/>
        </w:tabs>
        <w:spacing w:before="0" w:line="360" w:lineRule="auto"/>
        <w:ind w:left="522" w:firstLine="0"/>
        <w:rPr>
          <w:sz w:val="20"/>
          <w:lang w:val="es-AR"/>
        </w:rPr>
      </w:pPr>
      <w:r w:rsidRPr="00AB7B88">
        <w:rPr>
          <w:rStyle w:val="Bodytext"/>
          <w:color w:val="000000"/>
          <w:sz w:val="20"/>
          <w:lang w:val="es-AR" w:eastAsia="es-ES_tradnl"/>
        </w:rPr>
        <w:t>Por todas las razones aquí expuestas, la República Oriental del Uruguay respetuosamente solicita al Tribunal</w:t>
      </w:r>
      <w:r w:rsidR="005A2BDB" w:rsidRPr="00AB7B88">
        <w:rPr>
          <w:rStyle w:val="Bodytext"/>
          <w:color w:val="000000"/>
          <w:sz w:val="20"/>
          <w:lang w:val="es-AR" w:eastAsia="es-ES_tradnl"/>
        </w:rPr>
        <w:t xml:space="preserve"> </w:t>
      </w:r>
      <w:r w:rsidRPr="00AB7B88">
        <w:rPr>
          <w:rStyle w:val="Bodytext"/>
          <w:color w:val="000000"/>
          <w:sz w:val="20"/>
          <w:lang w:val="es-AR" w:eastAsia="es-ES_tradnl"/>
        </w:rPr>
        <w:t>que emita un Laudo:</w:t>
      </w:r>
    </w:p>
    <w:p w14:paraId="19DE5EDB" w14:textId="77777777" w:rsidR="003B3957" w:rsidRPr="00AB7B88" w:rsidRDefault="003B3957" w:rsidP="000766E9">
      <w:pPr>
        <w:pStyle w:val="Bodytext1"/>
        <w:numPr>
          <w:ilvl w:val="0"/>
          <w:numId w:val="14"/>
        </w:numPr>
        <w:shd w:val="clear" w:color="auto" w:fill="auto"/>
        <w:tabs>
          <w:tab w:val="left" w:pos="992"/>
        </w:tabs>
        <w:spacing w:before="380" w:line="360" w:lineRule="auto"/>
        <w:ind w:left="522" w:firstLine="0"/>
        <w:jc w:val="both"/>
        <w:rPr>
          <w:sz w:val="20"/>
          <w:lang w:val="es-AR"/>
        </w:rPr>
      </w:pPr>
      <w:r w:rsidRPr="00AB7B88">
        <w:rPr>
          <w:rStyle w:val="Bodytext"/>
          <w:color w:val="000000"/>
          <w:sz w:val="20"/>
          <w:lang w:val="es-AR" w:eastAsia="es-ES_tradnl"/>
        </w:rPr>
        <w:t>en favor de Uruguay y en contra de las Demandantes, desestimando los reclamos de las Demandantes por falta de jurisdicción y como un abuso de proceso o derecho en su totalidad y con perjuicio; y</w:t>
      </w:r>
    </w:p>
    <w:p w14:paraId="02E9C38A" w14:textId="77777777" w:rsidR="003B3957" w:rsidRPr="00AB7B88" w:rsidRDefault="003B3957" w:rsidP="000766E9">
      <w:pPr>
        <w:pStyle w:val="Bodytext1"/>
        <w:numPr>
          <w:ilvl w:val="0"/>
          <w:numId w:val="14"/>
        </w:numPr>
        <w:shd w:val="clear" w:color="auto" w:fill="auto"/>
        <w:tabs>
          <w:tab w:val="left" w:pos="992"/>
        </w:tabs>
        <w:spacing w:before="380" w:line="360" w:lineRule="auto"/>
        <w:ind w:left="522" w:firstLine="0"/>
        <w:jc w:val="both"/>
        <w:rPr>
          <w:sz w:val="20"/>
          <w:lang w:val="es-AR"/>
        </w:rPr>
      </w:pPr>
      <w:r w:rsidRPr="00AB7B88">
        <w:rPr>
          <w:rStyle w:val="Bodytext"/>
          <w:color w:val="000000"/>
          <w:sz w:val="20"/>
          <w:lang w:val="es-AR" w:eastAsia="es-ES_tradnl"/>
        </w:rPr>
        <w:t>Denegando todos los reclamos de la Demandante por falta de jurisdicción;</w:t>
      </w:r>
    </w:p>
    <w:p w14:paraId="5CFF3FA6" w14:textId="77777777" w:rsidR="003B3957" w:rsidRPr="00AB7B88" w:rsidRDefault="003B3957" w:rsidP="000766E9">
      <w:pPr>
        <w:pStyle w:val="Bodytext1"/>
        <w:numPr>
          <w:ilvl w:val="0"/>
          <w:numId w:val="14"/>
        </w:numPr>
        <w:shd w:val="clear" w:color="auto" w:fill="auto"/>
        <w:tabs>
          <w:tab w:val="left" w:pos="992"/>
        </w:tabs>
        <w:spacing w:before="380" w:line="360" w:lineRule="auto"/>
        <w:ind w:left="522" w:firstLine="0"/>
        <w:jc w:val="both"/>
        <w:rPr>
          <w:sz w:val="20"/>
          <w:lang w:val="es-AR"/>
        </w:rPr>
      </w:pPr>
      <w:r w:rsidRPr="00AB7B88">
        <w:rPr>
          <w:rStyle w:val="Bodytext"/>
          <w:color w:val="000000"/>
          <w:sz w:val="20"/>
          <w:lang w:val="es-AR" w:eastAsia="es-ES_tradnl"/>
        </w:rPr>
        <w:t xml:space="preserve">En el caso que el Tribunal decida que existe jurisdicción, </w:t>
      </w:r>
      <w:r w:rsidRPr="00AB7B88">
        <w:rPr>
          <w:rStyle w:val="BodytextItalic"/>
          <w:color w:val="000000"/>
          <w:sz w:val="20"/>
          <w:lang w:val="es-AR" w:eastAsia="es-ES_tradnl"/>
        </w:rPr>
        <w:t>quod non,</w:t>
      </w:r>
      <w:r w:rsidRPr="00AB7B88">
        <w:rPr>
          <w:rStyle w:val="Bodytext"/>
          <w:color w:val="000000"/>
          <w:sz w:val="20"/>
          <w:lang w:val="es-AR" w:eastAsia="es-ES_tradnl"/>
        </w:rPr>
        <w:t xml:space="preserve"> denegando todos los reclamos de la Demandante en los méritos;</w:t>
      </w:r>
    </w:p>
    <w:p w14:paraId="4739BE30" w14:textId="77777777" w:rsidR="003B3957" w:rsidRPr="00AB7B88" w:rsidRDefault="003B3957" w:rsidP="003A3C81">
      <w:pPr>
        <w:pStyle w:val="Bodytext1"/>
        <w:numPr>
          <w:ilvl w:val="0"/>
          <w:numId w:val="14"/>
        </w:numPr>
        <w:shd w:val="clear" w:color="auto" w:fill="auto"/>
        <w:tabs>
          <w:tab w:val="left" w:pos="1014"/>
        </w:tabs>
        <w:spacing w:before="380" w:line="360" w:lineRule="auto"/>
        <w:ind w:left="522" w:firstLine="0"/>
        <w:jc w:val="both"/>
        <w:rPr>
          <w:sz w:val="20"/>
          <w:lang w:val="es-AR"/>
        </w:rPr>
      </w:pPr>
      <w:r w:rsidRPr="00AB7B88">
        <w:rPr>
          <w:rStyle w:val="Bodytext"/>
          <w:color w:val="000000"/>
          <w:sz w:val="20"/>
          <w:lang w:val="es-AR" w:eastAsia="es-ES_tradnl"/>
        </w:rPr>
        <w:t>Negando que la Demandante ha sufrido daños compensables por algún acto de Uruguay violatorio del Tratado;</w:t>
      </w:r>
    </w:p>
    <w:p w14:paraId="0D422416" w14:textId="77777777" w:rsidR="003B3957" w:rsidRPr="00AB7B88" w:rsidRDefault="003B3957" w:rsidP="00447AC7">
      <w:pPr>
        <w:pStyle w:val="Bodytext1"/>
        <w:numPr>
          <w:ilvl w:val="0"/>
          <w:numId w:val="14"/>
        </w:numPr>
        <w:shd w:val="clear" w:color="auto" w:fill="auto"/>
        <w:tabs>
          <w:tab w:val="left" w:pos="992"/>
        </w:tabs>
        <w:spacing w:before="380" w:line="360" w:lineRule="auto"/>
        <w:ind w:left="522" w:firstLine="0"/>
        <w:jc w:val="both"/>
        <w:rPr>
          <w:sz w:val="20"/>
          <w:lang w:val="es-AR"/>
        </w:rPr>
      </w:pPr>
      <w:r w:rsidRPr="00AB7B88">
        <w:rPr>
          <w:rStyle w:val="Bodytext"/>
          <w:color w:val="000000"/>
          <w:sz w:val="20"/>
          <w:lang w:val="es-AR" w:eastAsia="es-ES_tradnl"/>
        </w:rPr>
        <w:lastRenderedPageBreak/>
        <w:t>Negando las intereses anteriores y posteriores al laudo capitalizados en forma compuesta a las</w:t>
      </w:r>
      <w:r w:rsidR="00E808C7" w:rsidRPr="00AB7B88">
        <w:rPr>
          <w:sz w:val="20"/>
          <w:lang w:val="es-AR"/>
        </w:rPr>
        <w:t xml:space="preserve"> </w:t>
      </w:r>
      <w:r w:rsidRPr="00AB7B88">
        <w:rPr>
          <w:rStyle w:val="Bodytext"/>
          <w:color w:val="000000"/>
          <w:sz w:val="20"/>
          <w:lang w:val="es-AR" w:eastAsia="es-ES_tradnl"/>
        </w:rPr>
        <w:t>tasas solicitadas en esta presentación hasta la fecha en que Uruguay abone en su totalidad el monto del laudo que el Tribunal disponga;</w:t>
      </w:r>
    </w:p>
    <w:p w14:paraId="3D6F2201" w14:textId="77777777" w:rsidR="003B3957" w:rsidRPr="00AB7B88" w:rsidRDefault="003B3957" w:rsidP="00447AC7">
      <w:pPr>
        <w:pStyle w:val="Bodytext1"/>
        <w:numPr>
          <w:ilvl w:val="0"/>
          <w:numId w:val="14"/>
        </w:numPr>
        <w:shd w:val="clear" w:color="auto" w:fill="auto"/>
        <w:tabs>
          <w:tab w:val="left" w:pos="992"/>
        </w:tabs>
        <w:spacing w:before="380" w:line="360" w:lineRule="auto"/>
        <w:ind w:left="522" w:firstLine="0"/>
        <w:jc w:val="both"/>
        <w:rPr>
          <w:sz w:val="20"/>
          <w:lang w:val="es-AR"/>
        </w:rPr>
      </w:pPr>
      <w:r w:rsidRPr="00AB7B88">
        <w:rPr>
          <w:rStyle w:val="Bodytext"/>
          <w:color w:val="000000"/>
          <w:sz w:val="20"/>
          <w:lang w:val="es-AR" w:eastAsia="es-ES_tradnl"/>
        </w:rPr>
        <w:t>Negando una orden expresa de que las sumas otorgadas a las Demandantes no estarán sujetas a tributo ni a compensación de ninguna índole en Uruguay; y</w:t>
      </w:r>
    </w:p>
    <w:p w14:paraId="6B785B2D" w14:textId="77777777" w:rsidR="003B3957" w:rsidRPr="00AB7B88" w:rsidRDefault="003B3957" w:rsidP="00447AC7">
      <w:pPr>
        <w:pStyle w:val="Bodytext1"/>
        <w:numPr>
          <w:ilvl w:val="0"/>
          <w:numId w:val="14"/>
        </w:numPr>
        <w:shd w:val="clear" w:color="auto" w:fill="auto"/>
        <w:tabs>
          <w:tab w:val="left" w:pos="992"/>
        </w:tabs>
        <w:spacing w:before="380" w:line="360" w:lineRule="auto"/>
        <w:ind w:left="522" w:firstLine="0"/>
        <w:jc w:val="both"/>
        <w:rPr>
          <w:rStyle w:val="Bodytext"/>
          <w:color w:val="000000"/>
          <w:sz w:val="20"/>
          <w:lang w:val="es-AR" w:eastAsia="es-ES_tradnl"/>
        </w:rPr>
      </w:pPr>
      <w:r w:rsidRPr="00AB7B88">
        <w:rPr>
          <w:rStyle w:val="Bodytext"/>
          <w:color w:val="000000"/>
          <w:sz w:val="20"/>
          <w:lang w:val="es-AR" w:eastAsia="es-ES_tradnl"/>
        </w:rPr>
        <w:t>Condenando a la Demandante a pagar todos los costos de este arbitraje, incluyendo los gastos y honorarios incurridos por Uruguay</w:t>
      </w:r>
      <w:r w:rsidRPr="00AB7B88">
        <w:rPr>
          <w:rStyle w:val="FootnoteReference"/>
          <w:color w:val="000000"/>
          <w:sz w:val="20"/>
          <w:lang w:eastAsia="es-ES_tradnl"/>
        </w:rPr>
        <w:footnoteReference w:id="93"/>
      </w:r>
      <w:r w:rsidRPr="00AB7B88">
        <w:rPr>
          <w:rStyle w:val="Bodytext"/>
          <w:color w:val="000000"/>
          <w:sz w:val="20"/>
          <w:lang w:val="es-AR" w:eastAsia="es-ES_tradnl"/>
        </w:rPr>
        <w:t>.</w:t>
      </w:r>
    </w:p>
    <w:p w14:paraId="034EACE3" w14:textId="77777777" w:rsidR="003B3957" w:rsidRPr="00AB7B88" w:rsidRDefault="003B3957" w:rsidP="00893B79">
      <w:pPr>
        <w:pStyle w:val="Bodytext30"/>
        <w:widowControl w:val="0"/>
        <w:numPr>
          <w:ilvl w:val="0"/>
          <w:numId w:val="5"/>
        </w:numPr>
        <w:shd w:val="clear" w:color="auto" w:fill="auto"/>
        <w:tabs>
          <w:tab w:val="left" w:pos="425"/>
        </w:tabs>
        <w:spacing w:before="380" w:after="0" w:line="360" w:lineRule="auto"/>
        <w:jc w:val="left"/>
        <w:rPr>
          <w:rStyle w:val="Bodytext3"/>
          <w:sz w:val="20"/>
          <w:shd w:val="clear" w:color="auto" w:fill="auto"/>
          <w:lang w:val="es-AR"/>
        </w:rPr>
      </w:pPr>
      <w:bookmarkStart w:id="60" w:name="bookmark65"/>
      <w:bookmarkStart w:id="61" w:name="bookmark66"/>
      <w:r w:rsidRPr="00AB7B88">
        <w:rPr>
          <w:rStyle w:val="Bodytext3"/>
          <w:b/>
          <w:bCs/>
          <w:color w:val="000000"/>
          <w:sz w:val="20"/>
          <w:lang w:eastAsia="es-ES_tradnl"/>
        </w:rPr>
        <w:t>El TBI</w:t>
      </w:r>
      <w:bookmarkEnd w:id="60"/>
      <w:bookmarkEnd w:id="61"/>
    </w:p>
    <w:p w14:paraId="7C4B245A" w14:textId="77777777" w:rsidR="003B3957" w:rsidRPr="00AB7B88" w:rsidRDefault="003B3957" w:rsidP="005B563D">
      <w:pPr>
        <w:pStyle w:val="Bodytext1"/>
        <w:numPr>
          <w:ilvl w:val="0"/>
          <w:numId w:val="6"/>
        </w:numPr>
        <w:shd w:val="clear" w:color="auto" w:fill="auto"/>
        <w:spacing w:before="380" w:line="360" w:lineRule="auto"/>
        <w:ind w:left="522" w:hanging="522"/>
        <w:rPr>
          <w:rStyle w:val="Bodytext"/>
          <w:sz w:val="20"/>
          <w:lang w:val="es-AR"/>
        </w:rPr>
      </w:pPr>
      <w:r w:rsidRPr="00AB7B88">
        <w:rPr>
          <w:rStyle w:val="Bodytext"/>
          <w:color w:val="000000"/>
          <w:sz w:val="20"/>
          <w:lang w:val="es-AR" w:eastAsia="es-ES_tradnl"/>
        </w:rPr>
        <w:t>A continuación, se reproducen las disposiciones pertinentes del TBI en ambas versiones auténticas:</w:t>
      </w:r>
    </w:p>
    <w:p w14:paraId="69BE911F" w14:textId="77777777" w:rsidR="00D63612" w:rsidRPr="00AB7B88" w:rsidRDefault="00D63612" w:rsidP="00D63612">
      <w:pPr>
        <w:pStyle w:val="Bodytext1"/>
        <w:shd w:val="clear" w:color="auto" w:fill="auto"/>
        <w:tabs>
          <w:tab w:val="left" w:pos="738"/>
        </w:tabs>
        <w:spacing w:before="380" w:line="360" w:lineRule="auto"/>
        <w:ind w:firstLine="0"/>
        <w:rPr>
          <w:sz w:val="20"/>
          <w:lang w:val="es-AR"/>
        </w:rPr>
      </w:pPr>
    </w:p>
    <w:tbl>
      <w:tblPr>
        <w:tblStyle w:val="TableGrid"/>
        <w:tblW w:w="9629" w:type="dxa"/>
        <w:tblCellMar>
          <w:left w:w="68" w:type="dxa"/>
          <w:right w:w="68" w:type="dxa"/>
        </w:tblCellMar>
        <w:tblLook w:val="04A0" w:firstRow="1" w:lastRow="0" w:firstColumn="1" w:lastColumn="0" w:noHBand="0" w:noVBand="1"/>
      </w:tblPr>
      <w:tblGrid>
        <w:gridCol w:w="4463"/>
        <w:gridCol w:w="5166"/>
      </w:tblGrid>
      <w:tr w:rsidR="001D202E" w:rsidRPr="00C132A4" w14:paraId="1092733B" w14:textId="77777777" w:rsidTr="00816F2C">
        <w:tc>
          <w:tcPr>
            <w:tcW w:w="4463" w:type="dxa"/>
          </w:tcPr>
          <w:p w14:paraId="4ED24FEA" w14:textId="77777777" w:rsidR="003B3957" w:rsidRPr="00AB7B88" w:rsidRDefault="003B3957" w:rsidP="00D80391">
            <w:pPr>
              <w:pStyle w:val="BodyText25"/>
              <w:shd w:val="clear" w:color="auto" w:fill="auto"/>
              <w:spacing w:before="0" w:after="0" w:line="360" w:lineRule="auto"/>
              <w:ind w:left="68" w:right="57" w:firstLine="0"/>
              <w:jc w:val="left"/>
              <w:rPr>
                <w:rFonts w:ascii="Times New Roman" w:hAnsi="Times New Roman"/>
                <w:sz w:val="20"/>
                <w:lang w:val="en-IN"/>
              </w:rPr>
            </w:pPr>
            <w:bookmarkStart w:id="62" w:name="bookmark0"/>
            <w:r w:rsidRPr="00AB7B88">
              <w:rPr>
                <w:rFonts w:ascii="Times New Roman" w:hAnsi="Times New Roman"/>
                <w:sz w:val="20"/>
                <w:lang w:val="en-US"/>
              </w:rPr>
              <w:t>Article 1 - Definitions</w:t>
            </w:r>
            <w:bookmarkEnd w:id="62"/>
          </w:p>
          <w:p w14:paraId="7550B54C" w14:textId="77777777" w:rsidR="003B3957" w:rsidRPr="00AB7B88" w:rsidRDefault="003B3957" w:rsidP="00D80391">
            <w:pPr>
              <w:pStyle w:val="BodyText25"/>
              <w:shd w:val="clear" w:color="auto" w:fill="auto"/>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For the purposes of this Agreement:</w:t>
            </w:r>
          </w:p>
          <w:p w14:paraId="34481707" w14:textId="77777777" w:rsidR="003B3957" w:rsidRPr="00AB7B88" w:rsidRDefault="003B3957" w:rsidP="00D80391">
            <w:pPr>
              <w:pStyle w:val="BodyText25"/>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(a) "investment" means every kind of asset and in particular, though not exclusively, includes:</w:t>
            </w:r>
          </w:p>
          <w:p w14:paraId="4CA8291B" w14:textId="77777777" w:rsidR="003B3957" w:rsidRPr="00AB7B88" w:rsidRDefault="003B3957" w:rsidP="00D80391">
            <w:pPr>
              <w:pStyle w:val="BodyText25"/>
              <w:numPr>
                <w:ilvl w:val="0"/>
                <w:numId w:val="15"/>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movable and immovable property and any other property rights such as mortgages, liens or pledges;</w:t>
            </w:r>
          </w:p>
          <w:p w14:paraId="6A3DC82C" w14:textId="77777777" w:rsidR="003B3957" w:rsidRPr="00AB7B88" w:rsidRDefault="003B3957" w:rsidP="00D80391">
            <w:pPr>
              <w:pStyle w:val="BodyText25"/>
              <w:numPr>
                <w:ilvl w:val="0"/>
                <w:numId w:val="15"/>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shares in and stock debentures of a company and any other form of participation in a company;</w:t>
            </w:r>
          </w:p>
          <w:p w14:paraId="5F35383E" w14:textId="77777777" w:rsidR="003B3957" w:rsidRPr="00AB7B88" w:rsidRDefault="003B3957" w:rsidP="00D80391">
            <w:pPr>
              <w:pStyle w:val="BodyText25"/>
              <w:numPr>
                <w:ilvl w:val="0"/>
                <w:numId w:val="15"/>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claims to money or to any performance under contract having a financial value;</w:t>
            </w:r>
          </w:p>
          <w:p w14:paraId="17BB90D2" w14:textId="77777777" w:rsidR="003B3957" w:rsidRPr="00AB7B88" w:rsidRDefault="003B3957" w:rsidP="00D80391">
            <w:pPr>
              <w:pStyle w:val="BodyText25"/>
              <w:numPr>
                <w:ilvl w:val="0"/>
                <w:numId w:val="15"/>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 xml:space="preserve">intellectual property rights, goodwill, technical </w:t>
            </w:r>
            <w:r w:rsidRPr="00AB7B88">
              <w:rPr>
                <w:rStyle w:val="BodytextItalic"/>
                <w:rFonts w:eastAsia="Book Antiqua"/>
                <w:sz w:val="20"/>
                <w:lang w:val="en-US"/>
              </w:rPr>
              <w:lastRenderedPageBreak/>
              <w:t>processes and know-how;</w:t>
            </w:r>
          </w:p>
          <w:p w14:paraId="11AF8A27" w14:textId="77777777" w:rsidR="003B3957" w:rsidRPr="00AB7B88" w:rsidRDefault="003B3957" w:rsidP="00D80391">
            <w:pPr>
              <w:pStyle w:val="BodyText25"/>
              <w:numPr>
                <w:ilvl w:val="0"/>
                <w:numId w:val="15"/>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business concessions conferred by law or under contract, including concessions to search for, cultivate, extract or exploit natural resources. A change in the form in which assets are invested does not affect their character as investments. The term "investment" includes all investments,</w:t>
            </w:r>
            <w:r w:rsidRPr="00AB7B88">
              <w:rPr>
                <w:rStyle w:val="BodytextItalic"/>
                <w:rFonts w:eastAsia="Arial Unicode MS"/>
                <w:sz w:val="20"/>
                <w:lang w:val="en-US"/>
              </w:rPr>
              <w:t xml:space="preserve"> </w:t>
            </w:r>
            <w:r w:rsidRPr="00AB7B88">
              <w:rPr>
                <w:rStyle w:val="BodytextItalic"/>
                <w:rFonts w:eastAsia="Book Antiqua"/>
                <w:sz w:val="20"/>
                <w:lang w:val="en-US"/>
              </w:rPr>
              <w:t>whether made before or after the date of entry into force of this Agreement, but this Agreement shall in no case apply to disputes which arose before its entry into force;</w:t>
            </w:r>
          </w:p>
          <w:p w14:paraId="1653C70C" w14:textId="77777777" w:rsidR="003B3957" w:rsidRPr="00AB7B88" w:rsidRDefault="003B3957" w:rsidP="00D80391">
            <w:pPr>
              <w:pStyle w:val="BodyText25"/>
              <w:numPr>
                <w:ilvl w:val="0"/>
                <w:numId w:val="16"/>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"returns’" means the amounts yielded by an investment and in particular, though not exclusively, includes profit, interest, captial gains, dividends, royalties and fees;</w:t>
            </w:r>
          </w:p>
          <w:p w14:paraId="2707D8C6" w14:textId="77777777" w:rsidR="003B3957" w:rsidRPr="00AB7B88" w:rsidRDefault="003B3957" w:rsidP="00D80391">
            <w:pPr>
              <w:pStyle w:val="BodyText25"/>
              <w:numPr>
                <w:ilvl w:val="0"/>
                <w:numId w:val="16"/>
              </w:numPr>
              <w:shd w:val="clear" w:color="auto" w:fill="auto"/>
              <w:tabs>
                <w:tab w:val="left" w:pos="425"/>
              </w:tabs>
              <w:spacing w:before="380" w:after="0" w:line="360" w:lineRule="auto"/>
              <w:ind w:left="68" w:right="57" w:firstLine="0"/>
              <w:jc w:val="left"/>
              <w:rPr>
                <w:rFonts w:ascii="Times New Roman" w:hAnsi="Times New Roman"/>
                <w:sz w:val="20"/>
              </w:rPr>
            </w:pPr>
            <w:r w:rsidRPr="00AB7B88">
              <w:rPr>
                <w:rStyle w:val="BodytextItalic"/>
                <w:rFonts w:eastAsia="Book Antiqua"/>
                <w:sz w:val="20"/>
                <w:lang w:val="en-US"/>
              </w:rPr>
              <w:t>"nationals"means:</w:t>
            </w:r>
          </w:p>
          <w:p w14:paraId="7313ED5B" w14:textId="77777777" w:rsidR="003B3957" w:rsidRPr="00AB7B88" w:rsidRDefault="003B3957" w:rsidP="00D80391">
            <w:pPr>
              <w:pStyle w:val="BodyText25"/>
              <w:numPr>
                <w:ilvl w:val="0"/>
                <w:numId w:val="17"/>
              </w:numPr>
              <w:shd w:val="clear" w:color="auto" w:fill="auto"/>
              <w:tabs>
                <w:tab w:val="left" w:pos="425"/>
              </w:tabs>
              <w:spacing w:before="380" w:after="0" w:line="360" w:lineRule="auto"/>
              <w:ind w:left="68" w:right="57" w:firstLine="0"/>
              <w:jc w:val="left"/>
              <w:rPr>
                <w:rFonts w:ascii="Times New Roman" w:hAnsi="Times New Roman"/>
                <w:spacing w:val="-4"/>
                <w:sz w:val="20"/>
                <w:lang w:val="en-IN"/>
              </w:rPr>
            </w:pPr>
            <w:r w:rsidRPr="00AB7B88">
              <w:rPr>
                <w:rStyle w:val="BodytextItalic"/>
                <w:rFonts w:eastAsia="Book Antiqua"/>
                <w:spacing w:val="-4"/>
                <w:sz w:val="20"/>
                <w:lang w:val="en-US"/>
              </w:rPr>
              <w:t>in respect of the United Kingdom: physical persons deriving their status as United Kingdom nationals from the law in force in the United Kingdom:</w:t>
            </w:r>
          </w:p>
          <w:p w14:paraId="5E85BC8F" w14:textId="77777777" w:rsidR="003B3957" w:rsidRPr="00AB7B88" w:rsidRDefault="003B3957" w:rsidP="00D80391">
            <w:pPr>
              <w:pStyle w:val="BodyText25"/>
              <w:numPr>
                <w:ilvl w:val="0"/>
                <w:numId w:val="17"/>
              </w:numPr>
              <w:shd w:val="clear" w:color="auto" w:fill="auto"/>
              <w:tabs>
                <w:tab w:val="left" w:pos="425"/>
              </w:tabs>
              <w:spacing w:before="380" w:after="0" w:line="360" w:lineRule="auto"/>
              <w:ind w:left="68" w:right="57" w:firstLine="0"/>
              <w:jc w:val="left"/>
              <w:rPr>
                <w:rFonts w:ascii="Times New Roman" w:hAnsi="Times New Roman"/>
                <w:spacing w:val="-4"/>
                <w:sz w:val="20"/>
                <w:lang w:val="en-IN"/>
              </w:rPr>
            </w:pPr>
            <w:r w:rsidRPr="00AB7B88">
              <w:rPr>
                <w:rStyle w:val="BodytextItalic"/>
                <w:rFonts w:eastAsia="Book Antiqua"/>
                <w:spacing w:val="-4"/>
                <w:sz w:val="20"/>
                <w:lang w:val="en-US"/>
              </w:rPr>
              <w:t>in respect of the Oriental Republic of Uruguay: physical persons who according to its legislation are considered as its nationals; this Agreement shall not apply to investments made by physical persons who are nationals of both Contracting Parties;</w:t>
            </w:r>
          </w:p>
          <w:p w14:paraId="4B9FA792" w14:textId="77777777" w:rsidR="003B3957" w:rsidRPr="00AB7B88" w:rsidRDefault="003B3957" w:rsidP="00D80391">
            <w:pPr>
              <w:pStyle w:val="BodyText25"/>
              <w:numPr>
                <w:ilvl w:val="0"/>
                <w:numId w:val="16"/>
              </w:numPr>
              <w:shd w:val="clear" w:color="auto" w:fill="auto"/>
              <w:tabs>
                <w:tab w:val="left" w:pos="425"/>
              </w:tabs>
              <w:spacing w:before="380" w:after="0" w:line="360" w:lineRule="auto"/>
              <w:ind w:left="68" w:right="57" w:firstLine="0"/>
              <w:jc w:val="left"/>
              <w:rPr>
                <w:rFonts w:ascii="Times New Roman" w:hAnsi="Times New Roman"/>
                <w:sz w:val="20"/>
              </w:rPr>
            </w:pPr>
            <w:r w:rsidRPr="00AB7B88">
              <w:rPr>
                <w:rStyle w:val="BodytextItalic"/>
                <w:rFonts w:eastAsia="Book Antiqua"/>
                <w:sz w:val="20"/>
                <w:lang w:val="en-US"/>
              </w:rPr>
              <w:t>"companies"means:</w:t>
            </w:r>
          </w:p>
          <w:p w14:paraId="46EC5BEA" w14:textId="77777777" w:rsidR="003B3957" w:rsidRPr="00AB7B88" w:rsidRDefault="003B3957" w:rsidP="000B4594">
            <w:pPr>
              <w:pStyle w:val="BodyText25"/>
              <w:numPr>
                <w:ilvl w:val="0"/>
                <w:numId w:val="68"/>
              </w:numPr>
              <w:shd w:val="clear" w:color="auto" w:fill="auto"/>
              <w:tabs>
                <w:tab w:val="left" w:pos="425"/>
                <w:tab w:val="left" w:pos="4060"/>
              </w:tabs>
              <w:spacing w:before="380" w:after="0" w:line="360" w:lineRule="auto"/>
              <w:ind w:left="68" w:right="28" w:firstLine="0"/>
              <w:jc w:val="left"/>
              <w:rPr>
                <w:rFonts w:ascii="Times New Roman" w:hAnsi="Times New Roman"/>
                <w:spacing w:val="-6"/>
                <w:sz w:val="20"/>
                <w:lang w:val="en-IN"/>
              </w:rPr>
            </w:pPr>
            <w:r w:rsidRPr="00AB7B88">
              <w:rPr>
                <w:rStyle w:val="BodytextItalic"/>
                <w:rFonts w:eastAsia="Book Antiqua"/>
                <w:spacing w:val="-6"/>
                <w:sz w:val="20"/>
                <w:lang w:val="en-US"/>
              </w:rPr>
              <w:t xml:space="preserve">in respect of the United Kingdom: corporations, firms and associations incorporated or constituted under the law in force in any part of the United Kingdom or in </w:t>
            </w:r>
            <w:r w:rsidRPr="00AB7B88">
              <w:rPr>
                <w:rStyle w:val="BodytextItalic"/>
                <w:rFonts w:eastAsia="Book Antiqua"/>
                <w:spacing w:val="-6"/>
                <w:sz w:val="20"/>
                <w:lang w:val="en-US"/>
              </w:rPr>
              <w:lastRenderedPageBreak/>
              <w:t>any territory which this Agreement is extended in accordance with the provisions of Article 11;</w:t>
            </w:r>
          </w:p>
          <w:p w14:paraId="748EEB9C" w14:textId="77777777" w:rsidR="003B3957" w:rsidRPr="00AB7B88" w:rsidRDefault="003B3957" w:rsidP="00D80391">
            <w:pPr>
              <w:pStyle w:val="BodyText25"/>
              <w:numPr>
                <w:ilvl w:val="0"/>
                <w:numId w:val="68"/>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in respect of the Oriental Republic of Uruguay: corporations, companies, firms and associations constituted or duly organised under its law in force;</w:t>
            </w:r>
          </w:p>
          <w:p w14:paraId="29F1A414" w14:textId="77777777" w:rsidR="003B3957" w:rsidRPr="00AB7B88" w:rsidRDefault="003B3957" w:rsidP="00D80391">
            <w:pPr>
              <w:pStyle w:val="BodyText25"/>
              <w:numPr>
                <w:ilvl w:val="0"/>
                <w:numId w:val="16"/>
              </w:numPr>
              <w:shd w:val="clear" w:color="auto" w:fill="auto"/>
              <w:tabs>
                <w:tab w:val="left" w:pos="425"/>
              </w:tabs>
              <w:spacing w:before="380" w:after="0" w:line="360" w:lineRule="auto"/>
              <w:ind w:left="68" w:right="57" w:firstLine="0"/>
              <w:jc w:val="left"/>
              <w:rPr>
                <w:rFonts w:ascii="Times New Roman" w:hAnsi="Times New Roman"/>
                <w:sz w:val="20"/>
              </w:rPr>
            </w:pPr>
            <w:r w:rsidRPr="00AB7B88">
              <w:rPr>
                <w:rStyle w:val="BodytextItalic"/>
                <w:rFonts w:eastAsia="Book Antiqua"/>
                <w:sz w:val="20"/>
                <w:lang w:val="en-US"/>
              </w:rPr>
              <w:t>"territory" means:</w:t>
            </w:r>
          </w:p>
          <w:p w14:paraId="36305607" w14:textId="77777777" w:rsidR="003B3957" w:rsidRPr="00AB7B88" w:rsidRDefault="003B3957" w:rsidP="00D80391">
            <w:pPr>
              <w:pStyle w:val="BodyText25"/>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(i)</w:t>
            </w:r>
            <w:r w:rsidR="00D43795" w:rsidRPr="00AB7B88">
              <w:rPr>
                <w:rStyle w:val="BodytextItalic"/>
                <w:rFonts w:eastAsia="Book Antiqua"/>
                <w:sz w:val="20"/>
                <w:lang w:val="en-US"/>
              </w:rPr>
              <w:tab/>
            </w:r>
            <w:r w:rsidRPr="00AB7B88">
              <w:rPr>
                <w:rStyle w:val="BodytextItalic"/>
                <w:rFonts w:eastAsia="Book Antiqua"/>
                <w:spacing w:val="-2"/>
                <w:sz w:val="20"/>
                <w:lang w:val="en-US"/>
              </w:rPr>
              <w:t>in respect of the United Kingdom: Great Britain and Northern Ireland, including the territorial sea and any maritime area situated beyond the territorial sea of the United Kingdom which has been or might in the future be designated under the national</w:t>
            </w:r>
            <w:r w:rsidRPr="00AB7B88">
              <w:rPr>
                <w:rStyle w:val="BodytextItalic"/>
                <w:rFonts w:eastAsia="Arial Unicode MS"/>
                <w:spacing w:val="-2"/>
                <w:sz w:val="20"/>
                <w:lang w:val="en-US"/>
              </w:rPr>
              <w:t xml:space="preserve"> </w:t>
            </w:r>
            <w:r w:rsidRPr="00AB7B88">
              <w:rPr>
                <w:rStyle w:val="BodytextItalic"/>
                <w:rFonts w:eastAsia="Book Antiqua"/>
                <w:spacing w:val="-2"/>
                <w:sz w:val="20"/>
                <w:lang w:val="en-US"/>
              </w:rPr>
              <w:t>law of the United Kingdom in accordance with international law as an. area within which the United Kingdom may exercise rights with regard to the sea-bed and subsoil and the natural resources, and any territory to which this Agreement is extended in accordance with the provisions of Article 11;</w:t>
            </w:r>
          </w:p>
          <w:p w14:paraId="77611E4F" w14:textId="77777777" w:rsidR="003B3957" w:rsidRPr="00AB7B88" w:rsidRDefault="003B3957" w:rsidP="00D80391">
            <w:pPr>
              <w:pStyle w:val="BodyText25"/>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(ii</w:t>
            </w:r>
            <w:r w:rsidR="00F35CDF" w:rsidRPr="00AB7B88">
              <w:rPr>
                <w:rStyle w:val="BodytextItalic"/>
                <w:rFonts w:eastAsia="Book Antiqua"/>
                <w:sz w:val="20"/>
                <w:lang w:val="en-US"/>
              </w:rPr>
              <w:t>)</w:t>
            </w:r>
            <w:r w:rsidR="00F35CDF" w:rsidRPr="00AB7B88">
              <w:rPr>
                <w:rStyle w:val="BodytextItalic"/>
                <w:rFonts w:eastAsia="Book Antiqua"/>
                <w:sz w:val="20"/>
                <w:lang w:val="en-US"/>
              </w:rPr>
              <w:tab/>
            </w:r>
            <w:r w:rsidRPr="00AB7B88">
              <w:rPr>
                <w:rStyle w:val="BodytextItalic"/>
                <w:rFonts w:eastAsia="Book Antiqua"/>
                <w:spacing w:val="-4"/>
                <w:sz w:val="20"/>
                <w:lang w:val="en-US"/>
              </w:rPr>
              <w:t>in respect of the Oriental Republic of Uruguay: its territorial area including any maritime area which has been or might in the future be designated by virtue of the national legislation of the Oriental Republic of Uruguay, in accordance with international law, as an area in which it may exercise rights with regard to the sea-bed and subsoil and the natural resources.</w:t>
            </w:r>
          </w:p>
          <w:p w14:paraId="63D4BFBF" w14:textId="77777777" w:rsidR="003B3957" w:rsidRPr="00AB7B88" w:rsidRDefault="003B3957" w:rsidP="00D80391">
            <w:pPr>
              <w:pStyle w:val="BodyText25"/>
              <w:shd w:val="clear" w:color="auto" w:fill="auto"/>
              <w:spacing w:before="380" w:after="0" w:line="360" w:lineRule="auto"/>
              <w:ind w:left="68" w:right="57" w:firstLine="0"/>
              <w:jc w:val="left"/>
              <w:rPr>
                <w:rFonts w:ascii="Times New Roman" w:hAnsi="Times New Roman"/>
                <w:sz w:val="20"/>
                <w:lang w:val="en-IN"/>
              </w:rPr>
            </w:pPr>
            <w:r w:rsidRPr="00AB7B88">
              <w:rPr>
                <w:rFonts w:ascii="Times New Roman" w:hAnsi="Times New Roman"/>
                <w:sz w:val="20"/>
                <w:lang w:val="en-US"/>
              </w:rPr>
              <w:t>Article 2 - Promotion and Protection of Investment</w:t>
            </w:r>
          </w:p>
          <w:p w14:paraId="73CCF6BF" w14:textId="77777777" w:rsidR="003B3957" w:rsidRPr="00AB7B88" w:rsidRDefault="003B3957" w:rsidP="00D80391">
            <w:pPr>
              <w:pStyle w:val="BodyText25"/>
              <w:numPr>
                <w:ilvl w:val="0"/>
                <w:numId w:val="18"/>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 xml:space="preserve">Each Contracting Party shall encourage and create favourable conditions for nationals or companies of the other Contracting Party to invest capital in its territory, and, in accordance with its right to exercise powers conferred by its laws, shall </w:t>
            </w:r>
            <w:r w:rsidRPr="00AB7B88">
              <w:rPr>
                <w:rStyle w:val="BodytextItalic"/>
                <w:rFonts w:eastAsia="Book Antiqua"/>
                <w:sz w:val="20"/>
                <w:lang w:val="en-US"/>
              </w:rPr>
              <w:lastRenderedPageBreak/>
              <w:t>admit such capital.</w:t>
            </w:r>
          </w:p>
          <w:p w14:paraId="192300F7" w14:textId="77777777" w:rsidR="003B3957" w:rsidRPr="00AB7B88" w:rsidRDefault="003B3957" w:rsidP="00D80391">
            <w:pPr>
              <w:pStyle w:val="BodyText25"/>
              <w:numPr>
                <w:ilvl w:val="0"/>
                <w:numId w:val="18"/>
              </w:numPr>
              <w:shd w:val="clear" w:color="auto" w:fill="auto"/>
              <w:tabs>
                <w:tab w:val="left" w:pos="425"/>
              </w:tabs>
              <w:spacing w:before="380" w:after="0" w:line="360" w:lineRule="auto"/>
              <w:ind w:left="68" w:right="57" w:firstLine="0"/>
              <w:jc w:val="left"/>
              <w:rPr>
                <w:rFonts w:ascii="Times New Roman" w:hAnsi="Times New Roman"/>
                <w:spacing w:val="-1"/>
                <w:sz w:val="20"/>
                <w:lang w:val="en-IN"/>
              </w:rPr>
            </w:pPr>
            <w:r w:rsidRPr="00AB7B88">
              <w:rPr>
                <w:rStyle w:val="BodytextItalic"/>
                <w:rFonts w:eastAsia="Book Antiqua"/>
                <w:spacing w:val="-1"/>
                <w:sz w:val="20"/>
                <w:lang w:val="en-US"/>
              </w:rPr>
              <w:t>Investments for nationals or companies of each Contracting Party shall at all times be accorded fair and equitable treatment and shall enjoy full protection and security in the territory of the other Contracting Party. Neither Contracting Party shall in any way impair by unreasonable or discriminatory measures the management, maintenance, use, enjoyment or disposal of investments in its territory of nationals or companies of the other Contracting Party. Each Contracting Party shall observe any obligation it may have entered into with regard to investments of nationals or companies of the other Contracting Party.</w:t>
            </w:r>
          </w:p>
          <w:p w14:paraId="6EE8B5B5" w14:textId="77777777" w:rsidR="003B3957" w:rsidRPr="00AB7B88" w:rsidRDefault="003B3957" w:rsidP="00D80391">
            <w:pPr>
              <w:tabs>
                <w:tab w:val="left" w:pos="425"/>
              </w:tabs>
              <w:spacing w:before="380" w:line="360" w:lineRule="auto"/>
              <w:ind w:left="68" w:right="57"/>
              <w:rPr>
                <w:rFonts w:ascii="Times New Roman" w:hAnsi="Times New Roman"/>
                <w:color w:val="000000"/>
                <w:sz w:val="20"/>
                <w:lang w:val="en-US"/>
              </w:rPr>
            </w:pPr>
            <w:r w:rsidRPr="00AB7B88">
              <w:rPr>
                <w:rFonts w:ascii="Times New Roman" w:hAnsi="Times New Roman"/>
                <w:color w:val="000000"/>
                <w:sz w:val="20"/>
                <w:lang w:val="en-US"/>
              </w:rPr>
              <w:t>Article 3 - Treatment of Investments</w:t>
            </w:r>
          </w:p>
          <w:p w14:paraId="708FC082" w14:textId="77777777" w:rsidR="003B3957" w:rsidRPr="00AB7B88" w:rsidRDefault="003B3957" w:rsidP="00D80391">
            <w:pPr>
              <w:pStyle w:val="BodyText25"/>
              <w:numPr>
                <w:ilvl w:val="0"/>
                <w:numId w:val="19"/>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Neither Contracting Party shall in its territory subject investments or returns of nationals or companies of the other Contracting Party to treatment less favourable than that which it accords to investments or returns of its own nationals or companies or to investments or returns of nationals or companies of any third State.</w:t>
            </w:r>
          </w:p>
          <w:p w14:paraId="55D940D3" w14:textId="77777777" w:rsidR="003B3957" w:rsidRPr="00AB7B88" w:rsidRDefault="003B3957" w:rsidP="00D80391">
            <w:pPr>
              <w:pStyle w:val="BodyText25"/>
              <w:numPr>
                <w:ilvl w:val="0"/>
                <w:numId w:val="19"/>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Neither Contracting Party shall in its territory subject nationals or companies of the other Contracting Party, as regards their management, maintenance, use, enjoyment or disposal of their investments, to treatment less favourable than that which it accords to its own nationals or companies or to nationals or companies of any third State.</w:t>
            </w:r>
          </w:p>
          <w:p w14:paraId="0A98B366" w14:textId="77777777" w:rsidR="003B3957" w:rsidRPr="00AB7B88" w:rsidRDefault="003B3957" w:rsidP="00D80391">
            <w:pPr>
              <w:pStyle w:val="BodyText25"/>
              <w:numPr>
                <w:ilvl w:val="0"/>
                <w:numId w:val="19"/>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 xml:space="preserve">If the provision of law of either Contracting Party or obligations under international law </w:t>
            </w:r>
            <w:r w:rsidRPr="00AB7B88">
              <w:rPr>
                <w:rStyle w:val="BodytextItalic"/>
                <w:rFonts w:eastAsia="Book Antiqua"/>
                <w:sz w:val="20"/>
                <w:lang w:val="en-US"/>
              </w:rPr>
              <w:lastRenderedPageBreak/>
              <w:t>existing at present or established hereafter between the Contracting Parties, in addition to the present Agreement, contain rules, whether general or specific, entitling investments by nationals or companies of the other Contracting Party to a treatment more favourable than is provided for by the present Agreement, such rules shall to the extent that they are more favourable prevail over the provisions of the present Agreement.</w:t>
            </w:r>
          </w:p>
          <w:p w14:paraId="1F27143E" w14:textId="77777777" w:rsidR="003B3957" w:rsidRPr="00AB7B88" w:rsidRDefault="003B3957" w:rsidP="00D80391">
            <w:pPr>
              <w:pStyle w:val="BodyText25"/>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Fonts w:ascii="Times New Roman" w:hAnsi="Times New Roman"/>
                <w:sz w:val="20"/>
                <w:lang w:val="en-US"/>
              </w:rPr>
              <w:t>Article 5 - Expropriation</w:t>
            </w:r>
          </w:p>
          <w:p w14:paraId="39404D3D" w14:textId="77777777" w:rsidR="003B3957" w:rsidRPr="00AB7B88" w:rsidRDefault="005273DF" w:rsidP="00D80391">
            <w:pPr>
              <w:pStyle w:val="BodyText25"/>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1.</w:t>
            </w:r>
            <w:r w:rsidRPr="00AB7B88">
              <w:rPr>
                <w:rStyle w:val="BodytextItalic"/>
                <w:rFonts w:eastAsia="Book Antiqua"/>
                <w:sz w:val="20"/>
                <w:lang w:val="en-US"/>
              </w:rPr>
              <w:tab/>
            </w:r>
            <w:r w:rsidR="003B3957" w:rsidRPr="00AB7B88">
              <w:rPr>
                <w:rStyle w:val="BodytextItalic"/>
                <w:rFonts w:eastAsia="Book Antiqua"/>
                <w:spacing w:val="-4"/>
                <w:sz w:val="20"/>
                <w:lang w:val="en-US"/>
              </w:rPr>
              <w:t>Investments of nationals or companies of either Contracting Party shall not be nationalised, expropriated or subjected to measures having effect equivalent to nationalisation or expropriation (hereinafter referred to as "expropriation") in the territory of the other Contracting Party except for a public purpose refated to the internal needs of that Party on a non- discriminatory basis and against prompt, fair and effective compensation Such compensation shall amount to the genuine</w:t>
            </w:r>
            <w:r w:rsidR="003B3957" w:rsidRPr="00AB7B88">
              <w:rPr>
                <w:rStyle w:val="BodytextItalic"/>
                <w:rFonts w:eastAsia="Arial Unicode MS"/>
                <w:spacing w:val="-4"/>
                <w:sz w:val="20"/>
                <w:lang w:val="en-US"/>
              </w:rPr>
              <w:t xml:space="preserve"> </w:t>
            </w:r>
            <w:r w:rsidR="003B3957" w:rsidRPr="00AB7B88">
              <w:rPr>
                <w:rStyle w:val="BodytextItalic"/>
                <w:rFonts w:eastAsia="Book Antiqua"/>
                <w:spacing w:val="-4"/>
                <w:sz w:val="20"/>
                <w:lang w:val="en-US"/>
              </w:rPr>
              <w:t>value of the investment expropriated immediately before the expropriation or before the impending expropriation became public knowledge, whichever is the earlier, and shall include interest at a normal commercial rate until the date of payment. The payment shall be made without delay be effectively realizable and be freely transferable. The national or company affected shall have a right, under the law of the Contracting Party making the expropriation, to prompt review, by a competent and independent authority having jurisdiction under the law of that Party, of his or its case and of the valuation of his or its investment in accordance with the principles set out in this paragraph.</w:t>
            </w:r>
          </w:p>
          <w:p w14:paraId="72DFF845" w14:textId="77777777" w:rsidR="003B3957" w:rsidRPr="00AB7B88" w:rsidRDefault="006F4322" w:rsidP="00D80391">
            <w:pPr>
              <w:pStyle w:val="BodyText25"/>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lastRenderedPageBreak/>
              <w:t>2.</w:t>
            </w:r>
            <w:r w:rsidRPr="00AB7B88">
              <w:rPr>
                <w:rStyle w:val="BodytextItalic"/>
                <w:rFonts w:eastAsia="Book Antiqua"/>
                <w:sz w:val="20"/>
                <w:lang w:val="en-US"/>
              </w:rPr>
              <w:tab/>
            </w:r>
            <w:r w:rsidR="003B3957" w:rsidRPr="00AB7B88">
              <w:rPr>
                <w:rStyle w:val="BodytextItalic"/>
                <w:rFonts w:eastAsia="Book Antiqua"/>
                <w:spacing w:val="-4"/>
                <w:sz w:val="20"/>
                <w:lang w:val="en-US"/>
              </w:rPr>
              <w:t>Where a Contracting Party expropriates the assets of a company which is incorporated or constituted under the law in force in any part of its own territory, and in which nationals or companies of the other Contracting Party own shares, compensation shall be paid in accordance with the provisions of paragraph (1) of this Article to the company whose assets are expropriated so as to permit the said nationals or companies to receive from the company prompt, fair and effective compensation</w:t>
            </w:r>
            <w:r w:rsidR="003B3957" w:rsidRPr="00AB7B88">
              <w:rPr>
                <w:rStyle w:val="BodytextItalic"/>
                <w:rFonts w:eastAsia="Book Antiqua"/>
                <w:sz w:val="20"/>
                <w:lang w:val="en-US"/>
              </w:rPr>
              <w:t>.</w:t>
            </w:r>
          </w:p>
          <w:p w14:paraId="15446A7A" w14:textId="77777777" w:rsidR="003B3957" w:rsidRPr="00AB7B88" w:rsidRDefault="003B3957" w:rsidP="00D80391">
            <w:pPr>
              <w:pStyle w:val="BodyText25"/>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Fonts w:ascii="Times New Roman" w:hAnsi="Times New Roman"/>
                <w:sz w:val="20"/>
                <w:lang w:val="en-US"/>
              </w:rPr>
              <w:t>Article 8 - Settlement of Disputes between a National or Company and a Host State</w:t>
            </w:r>
          </w:p>
          <w:p w14:paraId="7CB58416" w14:textId="77777777" w:rsidR="003B3957" w:rsidRPr="00AB7B88" w:rsidRDefault="003B3957" w:rsidP="00D80391">
            <w:pPr>
              <w:pStyle w:val="BodyText25"/>
              <w:numPr>
                <w:ilvl w:val="0"/>
                <w:numId w:val="20"/>
              </w:numPr>
              <w:shd w:val="clear" w:color="auto" w:fill="auto"/>
              <w:tabs>
                <w:tab w:val="left" w:pos="425"/>
              </w:tabs>
              <w:spacing w:before="380" w:after="0" w:line="360" w:lineRule="auto"/>
              <w:ind w:left="68" w:right="57" w:firstLine="0"/>
              <w:jc w:val="left"/>
              <w:rPr>
                <w:rFonts w:ascii="Times New Roman" w:hAnsi="Times New Roman"/>
                <w:spacing w:val="-2"/>
                <w:sz w:val="20"/>
                <w:lang w:val="en-IN"/>
              </w:rPr>
            </w:pPr>
            <w:r w:rsidRPr="00AB7B88">
              <w:rPr>
                <w:rStyle w:val="BodytextItalic"/>
                <w:rFonts w:eastAsia="Book Antiqua"/>
                <w:spacing w:val="-2"/>
                <w:sz w:val="20"/>
                <w:lang w:val="en-US"/>
              </w:rPr>
              <w:t>Disputes which arise between a national or a company of one Contracting Party and the other Contracting Party with regard to an investment of the former, which have not been amicably settled after a period of three months has elapsed from written notification of a claim, shall be submitted, at the request of one of the parties involved, to the decision of the competent tribunal of the Contracting Party in whose territory the investment was made.</w:t>
            </w:r>
          </w:p>
          <w:p w14:paraId="5A9941EB" w14:textId="77777777" w:rsidR="003B3957" w:rsidRPr="00AB7B88" w:rsidRDefault="003B3957" w:rsidP="00D80391">
            <w:pPr>
              <w:pStyle w:val="BodyText25"/>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The aforementioned disputes shall be submitted to international arbitration in the</w:t>
            </w:r>
            <w:r w:rsidRPr="00AB7B88">
              <w:rPr>
                <w:rStyle w:val="BodytextItalic"/>
                <w:rFonts w:eastAsia="Arial Unicode MS"/>
                <w:sz w:val="20"/>
                <w:lang w:val="en-US"/>
              </w:rPr>
              <w:t xml:space="preserve"> </w:t>
            </w:r>
            <w:r w:rsidRPr="00AB7B88">
              <w:rPr>
                <w:rStyle w:val="BodytextItalic"/>
                <w:rFonts w:eastAsia="Book Antiqua"/>
                <w:sz w:val="20"/>
                <w:lang w:val="en-US"/>
              </w:rPr>
              <w:t>following cases:</w:t>
            </w:r>
          </w:p>
          <w:p w14:paraId="4482AD03" w14:textId="77777777" w:rsidR="003B3957" w:rsidRPr="00AB7B88" w:rsidRDefault="003B3957" w:rsidP="00D80391">
            <w:pPr>
              <w:pStyle w:val="BodyText25"/>
              <w:numPr>
                <w:ilvl w:val="0"/>
                <w:numId w:val="21"/>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if one of the parties so requests, in any of the following circumstances:</w:t>
            </w:r>
          </w:p>
          <w:p w14:paraId="6434215B" w14:textId="77777777" w:rsidR="003B3957" w:rsidRPr="00AB7B88" w:rsidRDefault="003B3957" w:rsidP="00D80391">
            <w:pPr>
              <w:pStyle w:val="BodyText25"/>
              <w:numPr>
                <w:ilvl w:val="0"/>
                <w:numId w:val="22"/>
              </w:numPr>
              <w:shd w:val="clear" w:color="auto" w:fill="auto"/>
              <w:tabs>
                <w:tab w:val="left" w:pos="425"/>
              </w:tabs>
              <w:spacing w:before="380" w:after="0" w:line="360" w:lineRule="auto"/>
              <w:ind w:left="68" w:right="57" w:firstLine="0"/>
              <w:jc w:val="left"/>
              <w:rPr>
                <w:rFonts w:ascii="Times New Roman" w:hAnsi="Times New Roman"/>
                <w:spacing w:val="-4"/>
                <w:sz w:val="20"/>
                <w:lang w:val="en-IN"/>
              </w:rPr>
            </w:pPr>
            <w:r w:rsidRPr="00AB7B88">
              <w:rPr>
                <w:rStyle w:val="BodytextItalic"/>
                <w:rFonts w:eastAsia="Book Antiqua"/>
                <w:spacing w:val="-4"/>
                <w:sz w:val="20"/>
                <w:lang w:val="en-US"/>
              </w:rPr>
              <w:t>where, after a period of eighteen months has elapsed from the moment when the dispute was submitted to the competent tribunal of the Contracting Party in whose territory the investment was made, the said tribunal has not given its final decision:</w:t>
            </w:r>
          </w:p>
          <w:p w14:paraId="3EF09506" w14:textId="77777777" w:rsidR="003B3957" w:rsidRPr="00AB7B88" w:rsidRDefault="003B3957" w:rsidP="00D80391">
            <w:pPr>
              <w:pStyle w:val="BodyText25"/>
              <w:numPr>
                <w:ilvl w:val="0"/>
                <w:numId w:val="22"/>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lastRenderedPageBreak/>
              <w:t>where the final decision of the aforementioned tribunal is manifestly unjust or violates the provisions of’ this Agreement;</w:t>
            </w:r>
          </w:p>
          <w:p w14:paraId="2E91CF69" w14:textId="77777777" w:rsidR="003B3957" w:rsidRPr="00AB7B88" w:rsidRDefault="003B3957" w:rsidP="00D80391">
            <w:pPr>
              <w:pStyle w:val="BodyText25"/>
              <w:numPr>
                <w:ilvl w:val="0"/>
                <w:numId w:val="21"/>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where the Contracting Party, in accordance with the powers which its internal law confers upon it, and the national or company of the other Contracting Party have so agreed.</w:t>
            </w:r>
          </w:p>
          <w:p w14:paraId="2ACECCE2" w14:textId="77777777" w:rsidR="003B3957" w:rsidRPr="00AB7B88" w:rsidRDefault="003B3957" w:rsidP="00D80391">
            <w:pPr>
              <w:pStyle w:val="BodyText25"/>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3. Where the dispute is referred to international arbitration, the national or company and the Contracting Party concerned in the dispute may agree to refer the dispute to:</w:t>
            </w:r>
          </w:p>
          <w:p w14:paraId="5A96B67E" w14:textId="77777777" w:rsidR="003B3957" w:rsidRPr="00AB7B88" w:rsidRDefault="003B3957" w:rsidP="00D80391">
            <w:pPr>
              <w:pStyle w:val="BodyText25"/>
              <w:numPr>
                <w:ilvl w:val="0"/>
                <w:numId w:val="23"/>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either an international arbitrator or ad hoe arbitration tribunal of three members according to what has been expressly agreed by the parties. The arbitrator or arbitrators shall be appointed by a special agreement or in accordance with the Arbitration Rules of the United Nations Commission on International Trade Law (UNCITRAL);</w:t>
            </w:r>
          </w:p>
          <w:p w14:paraId="62E3E90C" w14:textId="77777777" w:rsidR="003B3957" w:rsidRPr="00AB7B88" w:rsidRDefault="003B3957" w:rsidP="00D80391">
            <w:pPr>
              <w:pStyle w:val="BodyText25"/>
              <w:numPr>
                <w:ilvl w:val="0"/>
                <w:numId w:val="23"/>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the International Center for the Settlement of Investment Disputes where both Contracting Parties are party to the Convention on the Settlement of Investment Disputes between States and Nationals of other States, opened for signature at Washington DC on 18 March 19651.</w:t>
            </w:r>
          </w:p>
          <w:p w14:paraId="5C705311" w14:textId="77777777" w:rsidR="003B3957" w:rsidRPr="00AB7B88" w:rsidRDefault="003B3957" w:rsidP="00D80391">
            <w:pPr>
              <w:pStyle w:val="BodyText25"/>
              <w:shd w:val="clear" w:color="auto" w:fill="auto"/>
              <w:tabs>
                <w:tab w:val="left" w:pos="425"/>
              </w:tabs>
              <w:spacing w:before="380" w:after="0" w:line="360" w:lineRule="auto"/>
              <w:ind w:left="68" w:right="57" w:firstLine="0"/>
              <w:jc w:val="left"/>
              <w:rPr>
                <w:rFonts w:ascii="Times New Roman" w:hAnsi="Times New Roman"/>
                <w:spacing w:val="-2"/>
                <w:sz w:val="20"/>
                <w:lang w:val="en-IN"/>
              </w:rPr>
            </w:pPr>
            <w:r w:rsidRPr="00AB7B88">
              <w:rPr>
                <w:rStyle w:val="BodytextItalic"/>
                <w:rFonts w:eastAsia="Book Antiqua"/>
                <w:spacing w:val="-2"/>
                <w:sz w:val="20"/>
                <w:lang w:val="en-US"/>
              </w:rPr>
              <w:t>If after a period of three months from</w:t>
            </w:r>
            <w:r w:rsidRPr="00AB7B88">
              <w:rPr>
                <w:rStyle w:val="BodytextItalic"/>
                <w:rFonts w:eastAsia="Arial Unicode MS"/>
                <w:spacing w:val="-2"/>
                <w:sz w:val="20"/>
                <w:lang w:val="en-US"/>
              </w:rPr>
              <w:t xml:space="preserve"> </w:t>
            </w:r>
            <w:r w:rsidRPr="00AB7B88">
              <w:rPr>
                <w:rStyle w:val="BodytextItalic"/>
                <w:rFonts w:eastAsia="Book Antiqua"/>
                <w:spacing w:val="-2"/>
                <w:sz w:val="20"/>
                <w:lang w:val="en-US"/>
              </w:rPr>
              <w:t xml:space="preserve">written notification of the claim there is no agreement to one of the above alternative procedures, the arbitration shall be undertaken by an ad hoe tribunal of three members and the parties to the dispute shall be bound to submit it to arbitration under the </w:t>
            </w:r>
            <w:r w:rsidRPr="00AB7B88">
              <w:rPr>
                <w:rStyle w:val="BodytextItalic"/>
                <w:rFonts w:eastAsia="Book Antiqua"/>
                <w:spacing w:val="-2"/>
                <w:sz w:val="20"/>
                <w:lang w:val="en-US"/>
              </w:rPr>
              <w:lastRenderedPageBreak/>
              <w:t>Arbitration Rules of the United Nations Commission on International Trade Law as then in force.</w:t>
            </w:r>
          </w:p>
          <w:p w14:paraId="5C2F879E" w14:textId="77777777" w:rsidR="003B3957" w:rsidRPr="00AB7B88" w:rsidRDefault="003B3957" w:rsidP="00D80391">
            <w:pPr>
              <w:pStyle w:val="BodyText25"/>
              <w:shd w:val="clear" w:color="auto" w:fill="auto"/>
              <w:tabs>
                <w:tab w:val="left" w:pos="425"/>
              </w:tabs>
              <w:spacing w:before="380" w:after="0" w:line="360" w:lineRule="auto"/>
              <w:ind w:left="68" w:right="57" w:firstLine="0"/>
              <w:jc w:val="left"/>
              <w:rPr>
                <w:rFonts w:ascii="Times New Roman" w:hAnsi="Times New Roman"/>
                <w:spacing w:val="-4"/>
                <w:sz w:val="20"/>
                <w:lang w:val="en-IN"/>
              </w:rPr>
            </w:pPr>
            <w:r w:rsidRPr="00AB7B88">
              <w:rPr>
                <w:rStyle w:val="BodytextItalic"/>
                <w:rFonts w:eastAsia="Book Antiqua"/>
                <w:spacing w:val="-4"/>
                <w:sz w:val="20"/>
                <w:lang w:val="en-US"/>
              </w:rPr>
              <w:t>Notwithstanding the above, where the Secretary General of the Permanent Court of Arbitration at the Hague or the appointing authority are nationals of one of the Contracting Parties, or where it is not possible for them to undertake this function, the President of the Court of Arbitration of the International Chamber of Commerce in Paris shall be the person to make the appointment. Where the President is a national of one of the Contracting Parties or if he is prevented from doing the above, the Vice-President of the Court of Arbitration of the International Chamber of Commerce in Paris or the member of the said Court next in seniority and who is not a national of either of the Contracting Parties shall be invited to make the appointment. The parties may agree in writing to modify the UNCITRAL Rules.</w:t>
            </w:r>
          </w:p>
          <w:p w14:paraId="2672AD70" w14:textId="77777777" w:rsidR="003B3957" w:rsidRPr="00AB7B88" w:rsidRDefault="003B3957" w:rsidP="00D80391">
            <w:pPr>
              <w:pStyle w:val="BodyText25"/>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4. As regards the Oriental Republic of Uruguay, the decision of the competent tribunal within the meaning of paragraph (1) of this Article means a judicial decision without appeal.</w:t>
            </w:r>
          </w:p>
          <w:p w14:paraId="187470E4" w14:textId="77777777" w:rsidR="003B3957" w:rsidRPr="00AB7B88" w:rsidRDefault="003B3957" w:rsidP="00D80391">
            <w:pPr>
              <w:pStyle w:val="BodyText25"/>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Fonts w:ascii="Times New Roman" w:hAnsi="Times New Roman"/>
                <w:sz w:val="20"/>
                <w:lang w:val="en-US"/>
              </w:rPr>
              <w:t>Article 9 - Disputes between the Contracting Parties</w:t>
            </w:r>
          </w:p>
          <w:p w14:paraId="461B8E14" w14:textId="77777777" w:rsidR="003B3957" w:rsidRPr="00AB7B88" w:rsidRDefault="003B3957" w:rsidP="00D80391">
            <w:pPr>
              <w:pStyle w:val="BodyText25"/>
              <w:numPr>
                <w:ilvl w:val="0"/>
                <w:numId w:val="24"/>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Disputes between the Contracting Parties concerning the interpretation or application of this Agreement should, if possible, be settled through the diplomatic channel.</w:t>
            </w:r>
          </w:p>
          <w:p w14:paraId="2A267866" w14:textId="77777777" w:rsidR="003B3957" w:rsidRPr="00AB7B88" w:rsidRDefault="003B3957" w:rsidP="00D80391">
            <w:pPr>
              <w:pStyle w:val="BodyText25"/>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If a dispute between the Contracting Parties cannot thus be settled within a reasonable period of time, it shall upon the request of either Contracting Party be</w:t>
            </w:r>
            <w:r w:rsidRPr="00AB7B88">
              <w:rPr>
                <w:rStyle w:val="BodytextItalic"/>
                <w:rFonts w:eastAsia="Arial Unicode MS"/>
                <w:sz w:val="20"/>
                <w:lang w:val="en-US"/>
              </w:rPr>
              <w:t xml:space="preserve"> </w:t>
            </w:r>
            <w:r w:rsidRPr="00AB7B88">
              <w:rPr>
                <w:rStyle w:val="BodytextItalic"/>
                <w:rFonts w:eastAsia="Book Antiqua"/>
                <w:sz w:val="20"/>
                <w:lang w:val="en-US"/>
              </w:rPr>
              <w:t>submitted to an arbitral tribunal.</w:t>
            </w:r>
          </w:p>
          <w:p w14:paraId="20E5A072" w14:textId="77777777" w:rsidR="003B3957" w:rsidRPr="00AB7B88" w:rsidRDefault="003B3957" w:rsidP="00D80391">
            <w:pPr>
              <w:pStyle w:val="BodyText25"/>
              <w:numPr>
                <w:ilvl w:val="0"/>
                <w:numId w:val="25"/>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lastRenderedPageBreak/>
              <w:t>Such an arbitral tribunal shall be composed of three members and shall be constituted for each individual case in the /following way. Within two months of the receipt of the request for arbitration, each Contracting Party shall appoint one member of the tribunal, Those two members so appointed shall then select a national of a third State who on approval by the two Contracting Parties shall be appointed Chairman of the tribunal. The Chairman shall be appointed within two months from the date of appointment of the other two members.</w:t>
            </w:r>
          </w:p>
          <w:p w14:paraId="24490284" w14:textId="77777777" w:rsidR="003B3957" w:rsidRPr="00AB7B88" w:rsidRDefault="003B3957" w:rsidP="00D80391">
            <w:pPr>
              <w:pStyle w:val="BodyText25"/>
              <w:numPr>
                <w:ilvl w:val="0"/>
                <w:numId w:val="25"/>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If within the periods specified in paragraph (3) of this Article the necessary appointments have not been made, either Contracting Party may, in the absence of any other agreement, invite the President of the International Court of Justice to make any necessary appointments. If the President is a national of either Contracting Party or if he is otherwise prevented from discharging the said function, the Vice-President- shall be invited to make the necessary appointments. If the Vice-President is a national of either Contracting Party or if he too is prevented from discharging the said function, the Member of the International Court of Justice next in seniority who is not a national of either Contracting Party shall be invited to make the necessary appointments.</w:t>
            </w:r>
          </w:p>
          <w:p w14:paraId="1FF25846" w14:textId="77777777" w:rsidR="003B3957" w:rsidRPr="00AB7B88" w:rsidRDefault="003B3957" w:rsidP="00D80391">
            <w:pPr>
              <w:pStyle w:val="BodyText25"/>
              <w:numPr>
                <w:ilvl w:val="0"/>
                <w:numId w:val="25"/>
              </w:numPr>
              <w:shd w:val="clear" w:color="auto" w:fill="auto"/>
              <w:tabs>
                <w:tab w:val="left" w:pos="425"/>
              </w:tabs>
              <w:spacing w:before="380" w:after="0" w:line="360" w:lineRule="auto"/>
              <w:ind w:left="68" w:right="57" w:firstLine="0"/>
              <w:jc w:val="left"/>
              <w:rPr>
                <w:rFonts w:ascii="Times New Roman" w:hAnsi="Times New Roman"/>
                <w:spacing w:val="-4"/>
                <w:sz w:val="20"/>
                <w:lang w:val="en-IN"/>
              </w:rPr>
            </w:pPr>
            <w:r w:rsidRPr="00AB7B88">
              <w:rPr>
                <w:rStyle w:val="BodytextItalic"/>
                <w:rFonts w:eastAsia="Book Antiqua"/>
                <w:spacing w:val="-4"/>
                <w:sz w:val="20"/>
                <w:lang w:val="en-US"/>
              </w:rPr>
              <w:t>The arbitral tribunal shall decide on the basis of the provisions of this Agreement, and such rules of international law and the domestic law of the State in which the investment which gave rise to the dispute was made as the tribunal considers applicable.</w:t>
            </w:r>
          </w:p>
          <w:p w14:paraId="2F31327F" w14:textId="77777777" w:rsidR="003B3957" w:rsidRPr="00AB7B88" w:rsidRDefault="003B3957" w:rsidP="00D80391">
            <w:pPr>
              <w:pStyle w:val="BodyText25"/>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lastRenderedPageBreak/>
              <w:t>The arbitral tribunal shall determine its own procedure. It shall reach its decision by</w:t>
            </w:r>
            <w:r w:rsidRPr="00AB7B88">
              <w:rPr>
                <w:rStyle w:val="BodytextItalic"/>
                <w:rFonts w:eastAsia="Arial Unicode MS"/>
                <w:sz w:val="20"/>
                <w:lang w:val="en-US"/>
              </w:rPr>
              <w:t xml:space="preserve"> </w:t>
            </w:r>
            <w:r w:rsidRPr="00AB7B88">
              <w:rPr>
                <w:rStyle w:val="BodytextItalic"/>
                <w:rFonts w:eastAsia="Book Antiqua"/>
                <w:sz w:val="20"/>
                <w:lang w:val="en-US"/>
              </w:rPr>
              <w:t>a majority of votes. Such decision shall be final and binding on both Contracting Parties.</w:t>
            </w:r>
          </w:p>
          <w:p w14:paraId="0D6B0D67" w14:textId="77777777" w:rsidR="003B3957" w:rsidRPr="00AB7B88" w:rsidRDefault="003B3957" w:rsidP="00D80391">
            <w:pPr>
              <w:pStyle w:val="BodyText25"/>
              <w:numPr>
                <w:ilvl w:val="0"/>
                <w:numId w:val="26"/>
              </w:numPr>
              <w:shd w:val="clear" w:color="auto" w:fill="auto"/>
              <w:tabs>
                <w:tab w:val="left" w:pos="425"/>
              </w:tabs>
              <w:spacing w:before="380" w:after="0" w:line="360" w:lineRule="auto"/>
              <w:ind w:left="68" w:right="57" w:firstLine="0"/>
              <w:jc w:val="left"/>
              <w:rPr>
                <w:rFonts w:ascii="Times New Roman" w:hAnsi="Times New Roman"/>
                <w:sz w:val="20"/>
                <w:lang w:val="en-IN"/>
              </w:rPr>
            </w:pPr>
            <w:r w:rsidRPr="00AB7B88">
              <w:rPr>
                <w:rStyle w:val="BodytextItalic"/>
                <w:rFonts w:eastAsia="Book Antiqua"/>
                <w:sz w:val="20"/>
                <w:lang w:val="en-US"/>
              </w:rPr>
              <w:t>Each Contracting Party shall bear the cost of its own member of the tribunal and of its representation in the arbitral proceedings; the cost of the Chairman and the remaining costs shall be borne in equal parts by the Contracting Parties. The tribunal may, however, in its decision direct that a higher proportion of costs shall be borne by one of the two Contracting Parties, and this award shall be binding on both Contracting Parties.</w:t>
            </w:r>
          </w:p>
          <w:p w14:paraId="5EEDE509" w14:textId="77777777" w:rsidR="003B3957" w:rsidRPr="00AB7B88" w:rsidRDefault="003B3957" w:rsidP="00D80391">
            <w:pPr>
              <w:tabs>
                <w:tab w:val="left" w:pos="425"/>
              </w:tabs>
              <w:spacing w:before="380" w:line="360" w:lineRule="auto"/>
              <w:ind w:left="68" w:right="57"/>
              <w:rPr>
                <w:rFonts w:ascii="Times New Roman" w:hAnsi="Times New Roman"/>
                <w:spacing w:val="-4"/>
                <w:sz w:val="20"/>
                <w:lang w:val="en-US" w:eastAsia="en-US"/>
              </w:rPr>
            </w:pPr>
            <w:bookmarkStart w:id="63" w:name="bookmark1"/>
            <w:bookmarkStart w:id="64" w:name="bookmark2"/>
            <w:r w:rsidRPr="00AB7B88">
              <w:rPr>
                <w:rStyle w:val="BodytextItalic"/>
                <w:rFonts w:eastAsia="Arial Unicode MS"/>
                <w:spacing w:val="-4"/>
                <w:sz w:val="20"/>
                <w:lang w:val="en-US"/>
              </w:rPr>
              <w:t>Neither Contracting Party shall bring an international claim in respect of a dispute which nnr of its nationals or companies and the other Contracting Party have submitted to the decision of the competent tribunal of the Party in whose territory the investment was made or to the arbitration provided for in Article 8 of this Agreement, unless such other Contracting Party shall have failed to abide by and comply with the award rendered in such dispute.</w:t>
            </w:r>
            <w:bookmarkEnd w:id="63"/>
            <w:bookmarkEnd w:id="64"/>
          </w:p>
        </w:tc>
        <w:tc>
          <w:tcPr>
            <w:tcW w:w="5166" w:type="dxa"/>
          </w:tcPr>
          <w:p w14:paraId="67786215" w14:textId="77777777" w:rsidR="003B3957" w:rsidRPr="00AB7B88" w:rsidRDefault="003B3957" w:rsidP="00EB72EB">
            <w:pPr>
              <w:pStyle w:val="BodyText25"/>
              <w:shd w:val="clear" w:color="auto" w:fill="auto"/>
              <w:tabs>
                <w:tab w:val="left" w:pos="369"/>
              </w:tabs>
              <w:spacing w:before="0" w:after="0" w:line="360" w:lineRule="auto"/>
              <w:ind w:left="23" w:firstLine="0"/>
              <w:jc w:val="left"/>
              <w:rPr>
                <w:rFonts w:ascii="Times New Roman" w:hAnsi="Times New Roman"/>
                <w:sz w:val="20"/>
              </w:rPr>
            </w:pPr>
            <w:r w:rsidRPr="00AB7B88">
              <w:rPr>
                <w:rFonts w:ascii="Times New Roman" w:hAnsi="Times New Roman"/>
                <w:sz w:val="20"/>
              </w:rPr>
              <w:lastRenderedPageBreak/>
              <w:t>Artículo 1 - Definiciones</w:t>
            </w:r>
          </w:p>
          <w:p w14:paraId="1057BB57" w14:textId="77777777" w:rsidR="003B3957" w:rsidRPr="00AB7B88" w:rsidRDefault="003B3957" w:rsidP="00EB72EB">
            <w:pPr>
              <w:pStyle w:val="BodyText25"/>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Para los fines del presente Convenio:</w:t>
            </w:r>
          </w:p>
          <w:p w14:paraId="10BAA7D0" w14:textId="77777777" w:rsidR="003B3957" w:rsidRPr="00AB7B88" w:rsidRDefault="003B3957" w:rsidP="00EB72EB">
            <w:pPr>
              <w:pStyle w:val="BodyText25"/>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(a) el término "inversiones" significa toda clase de bienes y en particular, aunque no exclusivamente, comprende.</w:t>
            </w:r>
          </w:p>
          <w:p w14:paraId="63C49AAC" w14:textId="77777777" w:rsidR="003B3957" w:rsidRPr="00AB7B88" w:rsidRDefault="003B3957" w:rsidP="00EB72EB">
            <w:pPr>
              <w:pStyle w:val="BodyText25"/>
              <w:numPr>
                <w:ilvl w:val="0"/>
                <w:numId w:val="27"/>
              </w:numPr>
              <w:shd w:val="clear" w:color="auto" w:fill="auto"/>
              <w:tabs>
                <w:tab w:val="left" w:pos="369"/>
              </w:tabs>
              <w:spacing w:before="380" w:after="0" w:line="360" w:lineRule="auto"/>
              <w:ind w:left="23" w:firstLine="0"/>
              <w:jc w:val="left"/>
              <w:rPr>
                <w:rFonts w:ascii="Times New Roman" w:hAnsi="Times New Roman"/>
                <w:sz w:val="20"/>
              </w:rPr>
            </w:pPr>
            <w:r w:rsidRPr="00AB7B88">
              <w:rPr>
                <w:rStyle w:val="BodytextItalic"/>
                <w:rFonts w:eastAsia="Book Antiqua"/>
                <w:sz w:val="20"/>
              </w:rPr>
              <w:t>la propiedad de bienes muebles e inmuebles así como otros derechos reales, tales como hipotecas, gravámenes y derechos de prenda.</w:t>
            </w:r>
          </w:p>
          <w:p w14:paraId="086E9699" w14:textId="77777777" w:rsidR="003B3957" w:rsidRPr="00AB7B88" w:rsidRDefault="003B3957" w:rsidP="00EB72EB">
            <w:pPr>
              <w:pStyle w:val="BodyText25"/>
              <w:numPr>
                <w:ilvl w:val="0"/>
                <w:numId w:val="27"/>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acciones, títulos y obligaciones de sociedades y otras formas de participación en los bienes de dichas sociedades.</w:t>
            </w:r>
          </w:p>
          <w:p w14:paraId="15942475" w14:textId="77777777" w:rsidR="003B3957" w:rsidRPr="00AB7B88" w:rsidRDefault="003B3957" w:rsidP="00EB72EB">
            <w:pPr>
              <w:pStyle w:val="BodyText25"/>
              <w:numPr>
                <w:ilvl w:val="0"/>
                <w:numId w:val="27"/>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derechos a fondos o prestaciones contractuales que tengan un valor financiero.</w:t>
            </w:r>
          </w:p>
          <w:p w14:paraId="6F474ACF" w14:textId="77777777" w:rsidR="003B3957" w:rsidRPr="00AB7B88" w:rsidRDefault="003B3957" w:rsidP="00EB72EB">
            <w:pPr>
              <w:pStyle w:val="BodyText25"/>
              <w:numPr>
                <w:ilvl w:val="0"/>
                <w:numId w:val="27"/>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 xml:space="preserve">derechos de propiedad intelectual, valor llave, procesos </w:t>
            </w:r>
            <w:r w:rsidRPr="00AB7B88">
              <w:rPr>
                <w:rStyle w:val="BodytextItalic"/>
                <w:rFonts w:eastAsia="Book Antiqua"/>
                <w:sz w:val="20"/>
              </w:rPr>
              <w:lastRenderedPageBreak/>
              <w:t>tecnológicos y knowhow.</w:t>
            </w:r>
          </w:p>
          <w:p w14:paraId="1D0DCAC8" w14:textId="77777777" w:rsidR="003B3957" w:rsidRPr="00AB7B88" w:rsidRDefault="003B3957" w:rsidP="00EB72EB">
            <w:pPr>
              <w:pStyle w:val="BodyText25"/>
              <w:numPr>
                <w:ilvl w:val="0"/>
                <w:numId w:val="27"/>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lang w:val="es-AR"/>
              </w:rPr>
              <w:t xml:space="preserve">concesiones de tipo comercial otorgadas por disposiciones legal o bajo contrato, incluidas las concesiones para la exploración, cultivo, extracción o explotación de recursos naturales. Un cambio de la forma de inversión de los bienes no afecta su condición de inversiones. </w:t>
            </w:r>
            <w:r w:rsidRPr="00AB7B88">
              <w:rPr>
                <w:rStyle w:val="BodytextItalic"/>
                <w:rFonts w:eastAsia="Book Antiqua"/>
                <w:sz w:val="20"/>
              </w:rPr>
              <w:t>El término "inversiones" comprende todas las</w:t>
            </w:r>
            <w:r w:rsidRPr="00AB7B88">
              <w:rPr>
                <w:rStyle w:val="BodytextItalic"/>
                <w:rFonts w:eastAsia="Arial Unicode MS"/>
                <w:sz w:val="20"/>
              </w:rPr>
              <w:t xml:space="preserve"> </w:t>
            </w:r>
            <w:r w:rsidRPr="00AB7B88">
              <w:rPr>
                <w:rStyle w:val="BodytextItalic"/>
                <w:rFonts w:eastAsia="Book Antiqua"/>
                <w:sz w:val="20"/>
              </w:rPr>
              <w:t>inversiones realizadas, antes o después de la fecha de entrada en vigor del presente Convenio; pero éste en ningún caso se aplicará a las diferencias o controversias surgidas antes de su vigencia.</w:t>
            </w:r>
          </w:p>
          <w:p w14:paraId="35291D91" w14:textId="77777777" w:rsidR="003B3957" w:rsidRPr="00AB7B88" w:rsidRDefault="003B3957" w:rsidP="00EB72EB">
            <w:pPr>
              <w:pStyle w:val="BodyText25"/>
              <w:numPr>
                <w:ilvl w:val="0"/>
                <w:numId w:val="28"/>
              </w:numPr>
              <w:shd w:val="clear" w:color="auto" w:fill="auto"/>
              <w:tabs>
                <w:tab w:val="left" w:pos="369"/>
              </w:tabs>
              <w:spacing w:before="380" w:after="0" w:line="360" w:lineRule="auto"/>
              <w:ind w:left="23" w:firstLine="0"/>
              <w:jc w:val="left"/>
              <w:rPr>
                <w:rFonts w:ascii="Times New Roman" w:hAnsi="Times New Roman"/>
                <w:sz w:val="20"/>
              </w:rPr>
            </w:pPr>
            <w:r w:rsidRPr="00AB7B88">
              <w:rPr>
                <w:rStyle w:val="BodytextItalic"/>
                <w:rFonts w:eastAsia="Book Antiqua"/>
                <w:spacing w:val="-4"/>
                <w:sz w:val="20"/>
              </w:rPr>
              <w:t>el término "rentas" significa el producido que corresponda a una inversión de capital y en particular aunque no exclusivamente, que comprenda beneficios, intereses, ganancias de capital, dividendos, cánones y honorarios</w:t>
            </w:r>
            <w:r w:rsidRPr="00AB7B88">
              <w:rPr>
                <w:rStyle w:val="BodytextItalic"/>
                <w:rFonts w:eastAsia="Book Antiqua"/>
                <w:sz w:val="20"/>
              </w:rPr>
              <w:t>.</w:t>
            </w:r>
          </w:p>
          <w:p w14:paraId="05602563" w14:textId="77777777" w:rsidR="003B3957" w:rsidRPr="00AB7B88" w:rsidRDefault="003B3957" w:rsidP="00EB72EB">
            <w:pPr>
              <w:pStyle w:val="BodyText25"/>
              <w:numPr>
                <w:ilvl w:val="0"/>
                <w:numId w:val="28"/>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el término "nacionales" significa:</w:t>
            </w:r>
          </w:p>
          <w:p w14:paraId="5486F50B" w14:textId="77777777" w:rsidR="003B3957" w:rsidRPr="00AB7B88" w:rsidRDefault="003B3957" w:rsidP="00EB72EB">
            <w:pPr>
              <w:pStyle w:val="BodyText25"/>
              <w:numPr>
                <w:ilvl w:val="0"/>
                <w:numId w:val="29"/>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en relación con el Reino Unido: personas naturales que deriven su condición de nacionales del Reino Unido de las leyes vigentes en el Reino Unido.</w:t>
            </w:r>
          </w:p>
          <w:p w14:paraId="58739C08" w14:textId="77777777" w:rsidR="003B3957" w:rsidRPr="00AB7B88" w:rsidRDefault="003B3957" w:rsidP="00EB72EB">
            <w:pPr>
              <w:pStyle w:val="BodyText25"/>
              <w:numPr>
                <w:ilvl w:val="0"/>
                <w:numId w:val="29"/>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en relación con la República Oriental del Uruguay: personas físicas que de acuerdo con su legislación son consideradas como sus nacionales. El Convenio no se aplicará a inversiones realizadas por personas físicas que sean nacionales de ambas Partes Contratantes.</w:t>
            </w:r>
          </w:p>
          <w:p w14:paraId="6635D477" w14:textId="77777777" w:rsidR="003B3957" w:rsidRPr="00AB7B88" w:rsidRDefault="003B3957" w:rsidP="00EB72EB">
            <w:pPr>
              <w:pStyle w:val="BodyText25"/>
              <w:numPr>
                <w:ilvl w:val="0"/>
                <w:numId w:val="28"/>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el término "sociedades" significa:</w:t>
            </w:r>
          </w:p>
          <w:p w14:paraId="3A24D935" w14:textId="77777777" w:rsidR="003B3957" w:rsidRPr="00AB7B88" w:rsidRDefault="003B3957" w:rsidP="00EB72EB">
            <w:pPr>
              <w:pStyle w:val="BodyText25"/>
              <w:numPr>
                <w:ilvl w:val="0"/>
                <w:numId w:val="30"/>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 xml:space="preserve">en relación con el Reino Unido: sociedades, firmas y asociaciones incorporadas o constituidas en virtud de las leyes vigentes en cualquier parte del Reino Unido o en </w:t>
            </w:r>
            <w:r w:rsidRPr="00AB7B88">
              <w:rPr>
                <w:rStyle w:val="BodytextItalic"/>
                <w:rFonts w:eastAsia="Book Antiqua"/>
                <w:sz w:val="20"/>
              </w:rPr>
              <w:lastRenderedPageBreak/>
              <w:t>cualquier territorio al que el presente Convenio se extienda conforme a las disposiciones del Artículo 11.</w:t>
            </w:r>
          </w:p>
          <w:p w14:paraId="32ADA963" w14:textId="77777777" w:rsidR="003B3957" w:rsidRPr="00AB7B88" w:rsidRDefault="003B3957" w:rsidP="00EB72EB">
            <w:pPr>
              <w:pStyle w:val="BodyText25"/>
              <w:numPr>
                <w:ilvl w:val="0"/>
                <w:numId w:val="30"/>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en relación con la República Oriental del Uruguay: sociedades, consorcios y asociaciones constituidas o debidamente organizadas en virtud de sus leyes vigentes.</w:t>
            </w:r>
          </w:p>
          <w:p w14:paraId="4B47FA5B" w14:textId="77777777" w:rsidR="003B3957" w:rsidRPr="00AB7B88" w:rsidRDefault="003B3957" w:rsidP="00EB72EB">
            <w:pPr>
              <w:pStyle w:val="BodyText25"/>
              <w:numPr>
                <w:ilvl w:val="0"/>
                <w:numId w:val="28"/>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el término "territorio"significa:</w:t>
            </w:r>
          </w:p>
          <w:p w14:paraId="235C4229" w14:textId="77777777" w:rsidR="003B3957" w:rsidRPr="00AB7B88" w:rsidRDefault="003B3957" w:rsidP="00B7672D">
            <w:pPr>
              <w:pStyle w:val="BodyText25"/>
              <w:shd w:val="clear" w:color="auto" w:fill="auto"/>
              <w:tabs>
                <w:tab w:val="left" w:pos="369"/>
              </w:tabs>
              <w:spacing w:before="380" w:after="0" w:line="360" w:lineRule="auto"/>
              <w:ind w:left="-68" w:right="113" w:firstLine="91"/>
              <w:jc w:val="left"/>
              <w:rPr>
                <w:rFonts w:ascii="Times New Roman" w:hAnsi="Times New Roman"/>
                <w:spacing w:val="3"/>
                <w:sz w:val="20"/>
              </w:rPr>
            </w:pPr>
            <w:r w:rsidRPr="00AB7B88">
              <w:rPr>
                <w:rStyle w:val="BodytextItalic"/>
                <w:rFonts w:eastAsia="Book Antiqua"/>
                <w:sz w:val="20"/>
                <w:lang w:val="es-AR"/>
              </w:rPr>
              <w:t xml:space="preserve">(i) </w:t>
            </w:r>
            <w:r w:rsidRPr="00AB7B88">
              <w:rPr>
                <w:rStyle w:val="BodytextItalic"/>
                <w:rFonts w:eastAsia="Book Antiqua"/>
                <w:spacing w:val="3"/>
                <w:sz w:val="20"/>
                <w:lang w:val="es-AR"/>
              </w:rPr>
              <w:t>en relación con el Reino Unido: Gran Bretaña e Irlanda del Norte, incluyendo el mar territorial y cualquier área marítima situada más allá del mar territorial del Reino Unido que haya sido designada o pueda ser designada en el futuro en virtud de la legislación nacional del Reino</w:t>
            </w:r>
            <w:r w:rsidRPr="00AB7B88">
              <w:rPr>
                <w:rStyle w:val="BodytextItalic"/>
                <w:rFonts w:eastAsia="Arial Unicode MS"/>
                <w:spacing w:val="3"/>
                <w:sz w:val="20"/>
                <w:lang w:val="es-AR"/>
              </w:rPr>
              <w:t xml:space="preserve"> </w:t>
            </w:r>
            <w:r w:rsidRPr="00AB7B88">
              <w:rPr>
                <w:rStyle w:val="BodytextItalic"/>
                <w:rFonts w:eastAsia="Book Antiqua"/>
                <w:spacing w:val="3"/>
                <w:sz w:val="20"/>
              </w:rPr>
              <w:t>Unidos conforme al derecho internacional como un área dentro de la cual el Reino Unido pueda ejercer derechos en cuanto al suelo y subsuelo marinos y a los recursos naturales y cualquier territorio al que el presente Convenio se extienda conforme a las disposiciones del Artículo 11.</w:t>
            </w:r>
          </w:p>
          <w:p w14:paraId="2562F537" w14:textId="77777777" w:rsidR="003B3957" w:rsidRPr="00AB7B88" w:rsidRDefault="003B3957" w:rsidP="00EB72EB">
            <w:pPr>
              <w:pStyle w:val="BodyText25"/>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(ii) en relación con la República Oriental del U ruguay: su área territorial, incluyendo cualquier área marítima que haya sido designada o pueda serlo en el futuro en virtud de la legislación nacional de la República Oriental del Uruguay, conforme al derecho internacional, como un área dentro de la cual pueda ejercer derechos en cuento al suelo y subsuelo marinos y a los recursos naturales.</w:t>
            </w:r>
          </w:p>
          <w:p w14:paraId="6065FC0C" w14:textId="77777777" w:rsidR="003B3957" w:rsidRPr="00AB7B88" w:rsidRDefault="003B3957" w:rsidP="00EB72EB">
            <w:pPr>
              <w:pStyle w:val="BodyText25"/>
              <w:shd w:val="clear" w:color="auto" w:fill="auto"/>
              <w:tabs>
                <w:tab w:val="left" w:pos="369"/>
              </w:tabs>
              <w:spacing w:before="380" w:after="0" w:line="360" w:lineRule="auto"/>
              <w:ind w:left="23" w:right="113" w:firstLine="0"/>
              <w:jc w:val="left"/>
              <w:rPr>
                <w:rFonts w:ascii="Times New Roman" w:hAnsi="Times New Roman"/>
                <w:sz w:val="20"/>
              </w:rPr>
            </w:pPr>
            <w:r w:rsidRPr="00AB7B88">
              <w:rPr>
                <w:rFonts w:ascii="Times New Roman" w:hAnsi="Times New Roman"/>
                <w:sz w:val="20"/>
              </w:rPr>
              <w:t>Artículo 2 - Fomento y Protección deinversiones</w:t>
            </w:r>
          </w:p>
          <w:p w14:paraId="4383339F" w14:textId="77777777" w:rsidR="003B3957" w:rsidRPr="00AB7B88" w:rsidRDefault="003B3957" w:rsidP="00EB72EB">
            <w:pPr>
              <w:pStyle w:val="BodyText25"/>
              <w:numPr>
                <w:ilvl w:val="0"/>
                <w:numId w:val="31"/>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 xml:space="preserve">Cada Parte Contratante fomentará y creará condiciones favorables para que los nacionales o sociedades de la otra Parte Contratante realicen inversiones de capital dentro de su respectivo territorio, y admitirá dicho capital sin perjuicio de los derechos o facultades conferidos por sus </w:t>
            </w:r>
            <w:r w:rsidRPr="00AB7B88">
              <w:rPr>
                <w:rStyle w:val="BodytextItalic"/>
                <w:rFonts w:eastAsia="Book Antiqua"/>
                <w:sz w:val="20"/>
              </w:rPr>
              <w:lastRenderedPageBreak/>
              <w:t>respectivas legislaciones.</w:t>
            </w:r>
          </w:p>
          <w:p w14:paraId="1B603DBF" w14:textId="77777777" w:rsidR="003B3957" w:rsidRPr="00AB7B88" w:rsidRDefault="003B3957" w:rsidP="00EB72EB">
            <w:pPr>
              <w:pStyle w:val="BodyText25"/>
              <w:numPr>
                <w:ilvl w:val="0"/>
                <w:numId w:val="31"/>
              </w:numPr>
              <w:shd w:val="clear" w:color="auto" w:fill="auto"/>
              <w:tabs>
                <w:tab w:val="left" w:pos="369"/>
              </w:tabs>
              <w:spacing w:before="380" w:after="0" w:line="360" w:lineRule="auto"/>
              <w:ind w:left="23" w:right="113" w:firstLine="0"/>
              <w:jc w:val="left"/>
              <w:rPr>
                <w:rFonts w:ascii="Times New Roman" w:hAnsi="Times New Roman"/>
                <w:spacing w:val="5"/>
                <w:sz w:val="20"/>
              </w:rPr>
            </w:pPr>
            <w:r w:rsidRPr="00AB7B88">
              <w:rPr>
                <w:rStyle w:val="BodytextItalic"/>
                <w:rFonts w:eastAsia="Book Antiqua"/>
                <w:spacing w:val="5"/>
                <w:sz w:val="20"/>
              </w:rPr>
              <w:t>A las inversiones de capital de nacionales o sociedades de cada Parte Contratante se les concederá en toda ocasión un trato justo y equitativo y gozarán de plena protección y seguridad en el territorio de la otra Parte Contratante. Ninguna de las dos Partes Contratantes de ningún modo perjudicara, por medidas injustas o discriminatorias, la gestión, mantenimiento, uso, goce o enajenación en su territorio de las inversiones de capital de nacionales o sociedades de la otra Parte Contratante. Cada Parte Contratante cumplirá cualquier compromiso que haya contraído en lo referente a las inversiones de capital de nacionales o sociedades de la otra Parte Contratante.</w:t>
            </w:r>
          </w:p>
          <w:p w14:paraId="562D79D7" w14:textId="77777777" w:rsidR="003B3957" w:rsidRPr="00AB7B88" w:rsidRDefault="003B3957" w:rsidP="00EB72EB">
            <w:pPr>
              <w:tabs>
                <w:tab w:val="left" w:pos="369"/>
              </w:tabs>
              <w:spacing w:before="380" w:line="360" w:lineRule="auto"/>
              <w:ind w:left="23" w:right="113"/>
              <w:rPr>
                <w:rFonts w:ascii="Times New Roman" w:hAnsi="Times New Roman"/>
                <w:color w:val="000000"/>
                <w:sz w:val="20"/>
                <w:lang w:val="es-ES"/>
              </w:rPr>
            </w:pPr>
            <w:r w:rsidRPr="00AB7B88">
              <w:rPr>
                <w:rFonts w:ascii="Times New Roman" w:hAnsi="Times New Roman"/>
                <w:color w:val="000000"/>
                <w:sz w:val="20"/>
                <w:lang w:val="es-ES"/>
              </w:rPr>
              <w:t>Artículo 3 - Tratamiento de las Inversiones</w:t>
            </w:r>
          </w:p>
          <w:p w14:paraId="29A80273" w14:textId="77777777" w:rsidR="003B3957" w:rsidRPr="00AB7B88" w:rsidRDefault="003B3957" w:rsidP="00EB72EB">
            <w:pPr>
              <w:pStyle w:val="BodyText25"/>
              <w:numPr>
                <w:ilvl w:val="0"/>
                <w:numId w:val="32"/>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Ninguna de las Partes Contratantes someterá en su territorio a las inversiones de capital y rentas de nacionales o sociedades de la otra Parte Contratante a un trato menos favorable del que se concede a las inversiones de capital y rentas de sus propios nacionales o sociedades o las inversiones de capital y rentas de nacionales o sociedades de cualquier tercer Estado.</w:t>
            </w:r>
          </w:p>
          <w:p w14:paraId="2D72CB59" w14:textId="77777777" w:rsidR="003B3957" w:rsidRPr="00AB7B88" w:rsidRDefault="003B3957" w:rsidP="00EB72EB">
            <w:pPr>
              <w:pStyle w:val="BodyText25"/>
              <w:numPr>
                <w:ilvl w:val="0"/>
                <w:numId w:val="32"/>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Ninguna de las Partes Contratantes someterá en su territorio a los nacionales o sociedades de la otra Parte Contratante. en cuanto se refiere a la gestión, mantenimiento, uso, goce o enajenación de sus inversiones de capital, a un trato menos favorable del que se concede a sus propios nacionales o sociedades o a los nacionales o sociedades de cualquier tercer Estado.</w:t>
            </w:r>
          </w:p>
          <w:p w14:paraId="27EFD972" w14:textId="77777777" w:rsidR="003B3957" w:rsidRPr="00AB7B88" w:rsidRDefault="003B3957" w:rsidP="00EB72EB">
            <w:pPr>
              <w:pStyle w:val="BodyText25"/>
              <w:numPr>
                <w:ilvl w:val="0"/>
                <w:numId w:val="32"/>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 xml:space="preserve">Si las disposiciones de la legislación de cualquiera de las Partes Contratantes o las obligaciones que en virtud del </w:t>
            </w:r>
            <w:r w:rsidRPr="00AB7B88">
              <w:rPr>
                <w:rStyle w:val="BodytextItalic"/>
                <w:rFonts w:eastAsia="Book Antiqua"/>
                <w:sz w:val="20"/>
              </w:rPr>
              <w:lastRenderedPageBreak/>
              <w:t>derecho internacional va existen o que se establezcan en el futuro entre las Partes Contratantes, además del presente Convenio, contienen reglas, ya sean generales o específicas, que conceden a las inversiones de capital realizadas por nacionales o sociedades de la otra Parte Contratante un trato más favorable que el que se dispone en virtud del presente Convenio dichas reglas serán de aplicación en lugar de las disposiciones del presente Convenio en la medida en que sean más favorables.</w:t>
            </w:r>
          </w:p>
          <w:p w14:paraId="3775A229" w14:textId="77777777" w:rsidR="003B3957" w:rsidRPr="00AB7B88" w:rsidRDefault="003B3957" w:rsidP="00EB72EB">
            <w:pPr>
              <w:pStyle w:val="BodyText25"/>
              <w:shd w:val="clear" w:color="auto" w:fill="auto"/>
              <w:tabs>
                <w:tab w:val="left" w:pos="369"/>
              </w:tabs>
              <w:spacing w:before="380" w:after="0" w:line="360" w:lineRule="auto"/>
              <w:ind w:left="23" w:right="113" w:firstLine="0"/>
              <w:jc w:val="left"/>
              <w:rPr>
                <w:rFonts w:ascii="Times New Roman" w:hAnsi="Times New Roman"/>
                <w:sz w:val="20"/>
              </w:rPr>
            </w:pPr>
            <w:r w:rsidRPr="00AB7B88">
              <w:rPr>
                <w:rFonts w:ascii="Times New Roman" w:hAnsi="Times New Roman"/>
                <w:sz w:val="20"/>
              </w:rPr>
              <w:t>Artículo 5 - Expropiación</w:t>
            </w:r>
          </w:p>
          <w:p w14:paraId="36DADE21" w14:textId="77777777" w:rsidR="003B3957" w:rsidRPr="00AB7B88" w:rsidRDefault="00F00E77" w:rsidP="00EB72EB">
            <w:pPr>
              <w:pStyle w:val="BodyText25"/>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lang w:val="es-AR"/>
              </w:rPr>
              <w:t>1</w:t>
            </w:r>
            <w:r w:rsidRPr="00AB7B88">
              <w:rPr>
                <w:rStyle w:val="BodytextItalic"/>
                <w:rFonts w:eastAsia="Book Antiqua"/>
                <w:spacing w:val="-1"/>
                <w:sz w:val="20"/>
                <w:lang w:val="es-AR"/>
              </w:rPr>
              <w:t>.</w:t>
            </w:r>
            <w:r w:rsidRPr="00AB7B88">
              <w:rPr>
                <w:rStyle w:val="BodytextItalic"/>
                <w:rFonts w:eastAsia="Book Antiqua"/>
                <w:spacing w:val="-1"/>
                <w:sz w:val="20"/>
                <w:lang w:val="es-AR"/>
              </w:rPr>
              <w:tab/>
            </w:r>
            <w:r w:rsidR="003B3957" w:rsidRPr="00AB7B88">
              <w:rPr>
                <w:rStyle w:val="BodytextItalic"/>
                <w:rFonts w:eastAsia="Book Antiqua"/>
                <w:spacing w:val="4"/>
                <w:sz w:val="20"/>
                <w:lang w:val="es-AR"/>
              </w:rPr>
              <w:t xml:space="preserve">Las inversiones de capital de nacionales o sociedades de una Parte Contratante no podrán, en el territorio de la otra Parte Contratante, ser nacionalizadas, expropiadas o sometidas a medidas que en sus efectos equivalgan a nacionalización o expropiación (a las que en lo sucesivo se denomina "expropiación") salvo por razones de utilidad pública relacionadas con las necesidades internas de dicha Parte Contratante a condición que no sean discriminatorias y a cambio de una compensación pronta, justa y efectiva. </w:t>
            </w:r>
            <w:r w:rsidR="003B3957" w:rsidRPr="00AB7B88">
              <w:rPr>
                <w:rStyle w:val="BodytextItalic"/>
                <w:rFonts w:eastAsia="Book Antiqua"/>
                <w:spacing w:val="4"/>
                <w:sz w:val="20"/>
              </w:rPr>
              <w:t>Dicha compensación equivaldrá al</w:t>
            </w:r>
            <w:r w:rsidR="003B3957" w:rsidRPr="00AB7B88">
              <w:rPr>
                <w:rStyle w:val="BodytextItalic"/>
                <w:rFonts w:eastAsia="Arial Unicode MS"/>
                <w:spacing w:val="4"/>
                <w:sz w:val="20"/>
              </w:rPr>
              <w:t xml:space="preserve"> </w:t>
            </w:r>
            <w:r w:rsidR="003B3957" w:rsidRPr="00AB7B88">
              <w:rPr>
                <w:rStyle w:val="BodytextItalic"/>
                <w:rFonts w:eastAsia="Book Antiqua"/>
                <w:spacing w:val="4"/>
                <w:sz w:val="20"/>
              </w:rPr>
              <w:t>valor real de la inversión expropiada inmediatamente antes de la fecha de hacerse pública o efectiva la expropiación, cualquiera que sea anterior; comprenderá los intereses conforme al tipo normal comercial hasta la fecha en que se efectúe el pago. Dicho pago se efectuará sin demora, será efectivamente realizable y libremente transferible. El nacional o sociedad afectada tendrá derecho, en virtud de las leyes de la Parte Contratante que efectúe dicha expropiación, a una pronta revisión, por la autoridad competente e independiente que tenga jurisdicción de acuerdo con la legislación de esta Parte Contratante, de su causa y a la avaluación de sus inversiones de capital conforme a los principios establecidos en este párrafo.</w:t>
            </w:r>
          </w:p>
          <w:p w14:paraId="05886CA9" w14:textId="77777777" w:rsidR="003B3957" w:rsidRPr="00AB7B88" w:rsidRDefault="003B3957" w:rsidP="00EB72EB">
            <w:pPr>
              <w:pStyle w:val="BodyText25"/>
              <w:shd w:val="clear" w:color="auto" w:fill="auto"/>
              <w:tabs>
                <w:tab w:val="left" w:pos="369"/>
              </w:tabs>
              <w:spacing w:before="380" w:after="0" w:line="360" w:lineRule="auto"/>
              <w:ind w:left="23" w:right="113" w:firstLine="0"/>
              <w:jc w:val="left"/>
              <w:rPr>
                <w:rFonts w:ascii="Times New Roman" w:hAnsi="Times New Roman"/>
                <w:spacing w:val="5"/>
                <w:sz w:val="20"/>
              </w:rPr>
            </w:pPr>
            <w:r w:rsidRPr="00AB7B88">
              <w:rPr>
                <w:rStyle w:val="BodytextItalic"/>
                <w:rFonts w:eastAsia="Book Antiqua"/>
                <w:sz w:val="20"/>
              </w:rPr>
              <w:lastRenderedPageBreak/>
              <w:t>2.</w:t>
            </w:r>
            <w:r w:rsidR="00084F60" w:rsidRPr="00AB7B88">
              <w:rPr>
                <w:rStyle w:val="BodytextItalic"/>
                <w:rFonts w:eastAsia="Book Antiqua"/>
                <w:sz w:val="20"/>
              </w:rPr>
              <w:tab/>
            </w:r>
            <w:r w:rsidRPr="00AB7B88">
              <w:rPr>
                <w:rStyle w:val="BodytextItalic"/>
                <w:rFonts w:eastAsia="Book Antiqua"/>
                <w:spacing w:val="5"/>
                <w:sz w:val="20"/>
              </w:rPr>
              <w:t>En el caso que una Parte Contratante expropie bienes de una sociedad constituida o debidamente organizada conforme a las leyes vigentes en cualquier parte de su territorio, y en la que nacionales o sociedades de la otra Parte Contratante tengan acciones, la compensación se pagará conforme a las disposiciones del párrafo (I) de este Artículo, a la compañía cuyos bienes son expropiados para posibilitar que dichos nacionales o sociedades puedan obtener de éstas una pronta, justa y efectiva indemnización.</w:t>
            </w:r>
          </w:p>
          <w:p w14:paraId="5DBD4C9C" w14:textId="77777777" w:rsidR="003B3957" w:rsidRPr="00AB7B88" w:rsidRDefault="003B3957" w:rsidP="00EB72EB">
            <w:pPr>
              <w:pStyle w:val="BodyText25"/>
              <w:shd w:val="clear" w:color="auto" w:fill="auto"/>
              <w:tabs>
                <w:tab w:val="left" w:pos="369"/>
              </w:tabs>
              <w:spacing w:before="380" w:after="0" w:line="360" w:lineRule="auto"/>
              <w:ind w:left="23" w:right="113" w:firstLine="0"/>
              <w:jc w:val="left"/>
              <w:rPr>
                <w:rFonts w:ascii="Times New Roman" w:hAnsi="Times New Roman"/>
                <w:sz w:val="20"/>
              </w:rPr>
            </w:pPr>
            <w:r w:rsidRPr="00AB7B88">
              <w:rPr>
                <w:rFonts w:ascii="Times New Roman" w:hAnsi="Times New Roman"/>
                <w:sz w:val="20"/>
              </w:rPr>
              <w:t>Artículo 8 - Arreglos de Controversias entre un Nacional o Sociedad y un Estado Receptor</w:t>
            </w:r>
          </w:p>
          <w:p w14:paraId="4230E5DF" w14:textId="77777777" w:rsidR="003B3957" w:rsidRPr="00AB7B88" w:rsidRDefault="003B3957" w:rsidP="00EB72EB">
            <w:pPr>
              <w:pStyle w:val="BodyText25"/>
              <w:numPr>
                <w:ilvl w:val="0"/>
                <w:numId w:val="33"/>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Las controversias que surgieren entre un. nacional o una sociedad de una Parte Contratante y la otra Parte Contratante con relación a una inversión de la primera, que no hayan sido dirimidas en forma amigable luego de transcurrido un periodo de tres meses después de la notificación escrita de un reclamo, serán sometidas, a solicitud de una de las partes interesadas, a la decisión del Tribunal competente de la Parte Contratante en cuyo territorio se realizó la inversión.</w:t>
            </w:r>
          </w:p>
          <w:p w14:paraId="68EF76BF" w14:textId="77777777" w:rsidR="003B3957" w:rsidRPr="00AB7B88" w:rsidRDefault="003B3957" w:rsidP="00EB72EB">
            <w:pPr>
              <w:tabs>
                <w:tab w:val="left" w:pos="369"/>
              </w:tabs>
              <w:spacing w:before="380" w:line="360" w:lineRule="auto"/>
              <w:ind w:left="23" w:right="113"/>
              <w:rPr>
                <w:rStyle w:val="BodytextItalic"/>
                <w:rFonts w:eastAsia="Arial Unicode MS"/>
                <w:sz w:val="20"/>
                <w:lang w:val="es-AR"/>
              </w:rPr>
            </w:pPr>
            <w:r w:rsidRPr="00AB7B88">
              <w:rPr>
                <w:rStyle w:val="BodytextItalic"/>
                <w:rFonts w:eastAsia="Arial Unicode MS"/>
                <w:sz w:val="20"/>
                <w:lang w:val="es-AR"/>
              </w:rPr>
              <w:t>Dichas controversias serán sometidas a arbitraje internacional en los siguientes casos:</w:t>
            </w:r>
          </w:p>
          <w:p w14:paraId="45AB7C51" w14:textId="77777777" w:rsidR="003B3957" w:rsidRPr="00AB7B88" w:rsidRDefault="003B3957" w:rsidP="00EB72EB">
            <w:pPr>
              <w:pStyle w:val="BodyText25"/>
              <w:numPr>
                <w:ilvl w:val="0"/>
                <w:numId w:val="34"/>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Si una de las partes así lo solicita, cuando se produzca alguna de las siguientes circunstancias:</w:t>
            </w:r>
          </w:p>
          <w:p w14:paraId="5ECCFDB9" w14:textId="77777777" w:rsidR="003B3957" w:rsidRPr="00AB7B88" w:rsidRDefault="003B3957" w:rsidP="00EB72EB">
            <w:pPr>
              <w:pStyle w:val="BodyText25"/>
              <w:numPr>
                <w:ilvl w:val="0"/>
                <w:numId w:val="35"/>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En el caso que, luego de transcurrido un período de dieciocho meses desde el momento en que la controversia haya sido sometida al Tribunal Competente de la Parte Contratante en cuyo territorio se realizó la inversión, éste no haya dictado sentencia.</w:t>
            </w:r>
          </w:p>
          <w:p w14:paraId="792E9B4A" w14:textId="77777777" w:rsidR="003B3957" w:rsidRPr="00AB7B88" w:rsidRDefault="003B3957" w:rsidP="00EB72EB">
            <w:pPr>
              <w:pStyle w:val="BodyText25"/>
              <w:numPr>
                <w:ilvl w:val="0"/>
                <w:numId w:val="35"/>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lastRenderedPageBreak/>
              <w:t>En el caso en que la sentencia de dicho Tribunal sea notoriamente injusta o infrinja las disposiciones de este Convenio.</w:t>
            </w:r>
          </w:p>
          <w:p w14:paraId="0C08541B" w14:textId="77777777" w:rsidR="003B3957" w:rsidRPr="00AB7B88" w:rsidRDefault="003B3957" w:rsidP="00EB72EB">
            <w:pPr>
              <w:pStyle w:val="BodyText25"/>
              <w:numPr>
                <w:ilvl w:val="0"/>
                <w:numId w:val="34"/>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En el caso que la Parte Contratante, conforme a las facultades que le reconozca su legislación interna, y el nacional o sociedad de la otra Parte Contratante así lo hayan acordado.</w:t>
            </w:r>
          </w:p>
          <w:p w14:paraId="368F4AC7" w14:textId="77777777" w:rsidR="003B3957" w:rsidRPr="00AB7B88" w:rsidRDefault="003B3957" w:rsidP="00EB72EB">
            <w:pPr>
              <w:pStyle w:val="BodyText25"/>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 xml:space="preserve">3. </w:t>
            </w:r>
            <w:r w:rsidRPr="00AB7B88">
              <w:rPr>
                <w:rStyle w:val="BodytextItalic"/>
                <w:rFonts w:eastAsia="Book Antiqua"/>
                <w:spacing w:val="2"/>
                <w:sz w:val="20"/>
              </w:rPr>
              <w:t>En el caso, que la controversia se someta a arbitraje internacional, el nacional o sociedad y la Parte Contratante en la diferencia podrán acordar en somatar la diferencia:</w:t>
            </w:r>
          </w:p>
          <w:p w14:paraId="32348C43" w14:textId="77777777" w:rsidR="003B3957" w:rsidRPr="00AB7B88" w:rsidRDefault="003B3957" w:rsidP="00EB72EB">
            <w:pPr>
              <w:pStyle w:val="BodyText25"/>
              <w:numPr>
                <w:ilvl w:val="0"/>
                <w:numId w:val="36"/>
              </w:numPr>
              <w:shd w:val="clear" w:color="auto" w:fill="auto"/>
              <w:tabs>
                <w:tab w:val="left" w:pos="369"/>
              </w:tabs>
              <w:spacing w:before="380" w:after="0" w:line="360" w:lineRule="auto"/>
              <w:ind w:left="23" w:right="113" w:firstLine="0"/>
              <w:jc w:val="left"/>
              <w:rPr>
                <w:rFonts w:ascii="Times New Roman" w:hAnsi="Times New Roman"/>
                <w:spacing w:val="8"/>
                <w:sz w:val="20"/>
              </w:rPr>
            </w:pPr>
            <w:r w:rsidRPr="00AB7B88">
              <w:rPr>
                <w:rStyle w:val="BodytextItalic"/>
                <w:rFonts w:eastAsia="Book Antiqua"/>
                <w:spacing w:val="8"/>
                <w:sz w:val="20"/>
              </w:rPr>
              <w:t>a en árbitro internacional o tribunal de arbitraje ad-hoc de tras miembros, según lo acuerdan expresamente las Partas. El o los árbitros sarán designados por un acuerdo especial o conforme al Reglamento de Arbitraje de la Comisión de las Nacionas Unidas sobra el Derecho Mercantil Internacional (CNUDMI).</w:t>
            </w:r>
          </w:p>
          <w:p w14:paraId="24F5A342" w14:textId="77777777" w:rsidR="003B3957" w:rsidRPr="00AB7B88" w:rsidRDefault="003B3957" w:rsidP="00EB72EB">
            <w:pPr>
              <w:pStyle w:val="BodyText25"/>
              <w:numPr>
                <w:ilvl w:val="0"/>
                <w:numId w:val="36"/>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Al Centro Internacional de Arreglos de Diferencias Relativas a Inversiones en caso que ambas Partes Contratantes se hubieren adherido al Convenio sobra Arreglo de Diferencias Relativas a Inversiones entre Estados y Nacionales de otros Estados, abierto a la firma en Washington el 18 de marzo de 1965.</w:t>
            </w:r>
          </w:p>
          <w:p w14:paraId="7E84E84D" w14:textId="77777777" w:rsidR="003B3957" w:rsidRPr="00AB7B88" w:rsidRDefault="003B3957" w:rsidP="00EB72EB">
            <w:pPr>
              <w:pStyle w:val="BodyText25"/>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lang w:val="es-AR"/>
              </w:rPr>
              <w:t>Si después de un periodo de tras masas a partir</w:t>
            </w:r>
            <w:r w:rsidRPr="00AB7B88">
              <w:rPr>
                <w:rStyle w:val="BodytextItalic"/>
                <w:rFonts w:eastAsia="Arial Unicode MS"/>
                <w:sz w:val="20"/>
                <w:lang w:val="es-AR"/>
              </w:rPr>
              <w:t xml:space="preserve"> </w:t>
            </w:r>
            <w:r w:rsidRPr="00AB7B88">
              <w:rPr>
                <w:rStyle w:val="BodytextItalic"/>
                <w:rFonts w:eastAsia="Book Antiqua"/>
                <w:sz w:val="20"/>
              </w:rPr>
              <w:t xml:space="preserve">de la notificación escrita del reclamo, uno de los procedimientos alternativos antes mencionados no hubiese sido acordado, al arbitraje lo realizará un tribunal ad-hoc de tras miembros y las partas en la diferencia tendrán la obligación de someterla a arbitraje conforme al Reglamento de </w:t>
            </w:r>
            <w:r w:rsidRPr="00AB7B88">
              <w:rPr>
                <w:rStyle w:val="BodytextItalic"/>
                <w:rFonts w:eastAsia="Book Antiqua"/>
                <w:sz w:val="20"/>
              </w:rPr>
              <w:lastRenderedPageBreak/>
              <w:t>Arbitraje de la Comisión de las Naciones Unidas sobre el Derecho Mercantil Internacional vigente en asa momento.</w:t>
            </w:r>
          </w:p>
          <w:p w14:paraId="4BD0BD32" w14:textId="77777777" w:rsidR="003B3957" w:rsidRPr="00AB7B88" w:rsidRDefault="003B3957" w:rsidP="00EB72EB">
            <w:pPr>
              <w:pStyle w:val="BodyText25"/>
              <w:shd w:val="clear" w:color="auto" w:fill="auto"/>
              <w:tabs>
                <w:tab w:val="left" w:pos="369"/>
              </w:tabs>
              <w:spacing w:before="380" w:after="0" w:line="360" w:lineRule="auto"/>
              <w:ind w:left="23" w:right="113" w:firstLine="0"/>
              <w:jc w:val="left"/>
              <w:rPr>
                <w:rFonts w:ascii="Times New Roman" w:hAnsi="Times New Roman"/>
                <w:spacing w:val="4"/>
                <w:sz w:val="20"/>
              </w:rPr>
            </w:pPr>
            <w:r w:rsidRPr="00AB7B88">
              <w:rPr>
                <w:rStyle w:val="BodytextItalic"/>
                <w:rFonts w:eastAsia="Book Antiqua"/>
                <w:spacing w:val="4"/>
                <w:sz w:val="20"/>
              </w:rPr>
              <w:t>No obstante ello, an el caso que el Secretario General del Tribunal Permanente de Arbitraja de La Haya o la autoridad nominadora sean nacionales de una de las Partes Contratantes, o no fuera posible para ellos realizar dicha función, el Presidente de la Corta de Arbitraje de la Cámara Internacional de Comercio de París será quien realice el nombramiento. En el caso que el Presidente sea nacional de una de las Partas Contratantes o si ésta estuviere impedido de hacer lo antedicho, el Vicepresidente de la Corta de Arbitrajes de la Cámara Mercantil de Comercio de París o el miembro de dicha Corta que lo siga an antigüedad y qua no sea nacional de cualquiera de las Partas Contratantes, será invitado a efectuar el nombramiento. Las partes podrán acordar por escrito la modificación de las reglas de CNUDMI.</w:t>
            </w:r>
          </w:p>
          <w:p w14:paraId="21F6FE4F" w14:textId="77777777" w:rsidR="003B3957" w:rsidRPr="00AB7B88" w:rsidRDefault="003B3957" w:rsidP="00EB72EB">
            <w:pPr>
              <w:pStyle w:val="BodyText25"/>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4. Para la República Oriental del Uruguay, la decisión del Tribunal competente, en el sentido del párrafo (i) del presente artículo, significa decisión judicial en una única instancia.</w:t>
            </w:r>
          </w:p>
          <w:p w14:paraId="1B86D9B2" w14:textId="77777777" w:rsidR="003B3957" w:rsidRPr="00AB7B88" w:rsidRDefault="003B3957" w:rsidP="00EB72EB">
            <w:pPr>
              <w:pStyle w:val="BodyText25"/>
              <w:shd w:val="clear" w:color="auto" w:fill="auto"/>
              <w:tabs>
                <w:tab w:val="left" w:pos="369"/>
              </w:tabs>
              <w:spacing w:before="380" w:after="0" w:line="360" w:lineRule="auto"/>
              <w:ind w:left="23" w:right="113" w:firstLine="0"/>
              <w:jc w:val="left"/>
              <w:rPr>
                <w:rFonts w:ascii="Times New Roman" w:hAnsi="Times New Roman"/>
                <w:sz w:val="20"/>
              </w:rPr>
            </w:pPr>
            <w:r w:rsidRPr="00AB7B88">
              <w:rPr>
                <w:rFonts w:ascii="Times New Roman" w:hAnsi="Times New Roman"/>
                <w:sz w:val="20"/>
              </w:rPr>
              <w:t>Artículo 9 - Diferencias entre las Partes Contratantes</w:t>
            </w:r>
          </w:p>
          <w:p w14:paraId="1F5A2F99" w14:textId="77777777" w:rsidR="003B3957" w:rsidRPr="00AB7B88" w:rsidRDefault="003B3957" w:rsidP="00EB72EB">
            <w:pPr>
              <w:pStyle w:val="BodyText25"/>
              <w:numPr>
                <w:ilvl w:val="0"/>
                <w:numId w:val="37"/>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Las diferencias que surgieren entre las Partas Contratantes sobra la interpretación o aplicación del presente Convenio deberán, en lo posible, ser dirimidas por la vía diplomática.</w:t>
            </w:r>
          </w:p>
          <w:p w14:paraId="61E0C151" w14:textId="77777777" w:rsidR="003B3957" w:rsidRPr="00AB7B88" w:rsidRDefault="003B3957" w:rsidP="00EB72EB">
            <w:pPr>
              <w:pStyle w:val="BodyText25"/>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lang w:val="es-AR"/>
              </w:rPr>
              <w:t>Si una diferencia entre las Partes Contratantes no pudiere ser dirimida de esa manera en un plazo razonable, será sometida a un tribunal arbitral a petición de una u otra de las Partes</w:t>
            </w:r>
            <w:r w:rsidRPr="00AB7B88">
              <w:rPr>
                <w:rStyle w:val="BodytextItalic"/>
                <w:rFonts w:eastAsia="Arial Unicode MS"/>
                <w:sz w:val="20"/>
                <w:lang w:val="es-AR"/>
              </w:rPr>
              <w:t xml:space="preserve"> </w:t>
            </w:r>
            <w:r w:rsidRPr="00AB7B88">
              <w:rPr>
                <w:rStyle w:val="BodytextItalic"/>
                <w:rFonts w:eastAsia="Book Antiqua"/>
                <w:sz w:val="20"/>
              </w:rPr>
              <w:t>Contratantes.</w:t>
            </w:r>
          </w:p>
          <w:p w14:paraId="06653E3C" w14:textId="77777777" w:rsidR="003B3957" w:rsidRPr="00AB7B88" w:rsidRDefault="003B3957" w:rsidP="00EB72EB">
            <w:pPr>
              <w:pStyle w:val="BodyText25"/>
              <w:numPr>
                <w:ilvl w:val="0"/>
                <w:numId w:val="38"/>
              </w:numPr>
              <w:shd w:val="clear" w:color="auto" w:fill="auto"/>
              <w:tabs>
                <w:tab w:val="left" w:pos="369"/>
              </w:tabs>
              <w:spacing w:before="380" w:after="0" w:line="360" w:lineRule="auto"/>
              <w:ind w:left="23" w:right="113" w:firstLine="0"/>
              <w:jc w:val="left"/>
              <w:rPr>
                <w:rFonts w:ascii="Times New Roman" w:hAnsi="Times New Roman"/>
                <w:spacing w:val="6"/>
                <w:sz w:val="20"/>
              </w:rPr>
            </w:pPr>
            <w:r w:rsidRPr="00AB7B88">
              <w:rPr>
                <w:rStyle w:val="BodytextItalic"/>
                <w:rFonts w:eastAsia="Book Antiqua"/>
                <w:spacing w:val="6"/>
                <w:sz w:val="20"/>
              </w:rPr>
              <w:lastRenderedPageBreak/>
              <w:t>Dicho Tribunal arbitral, compuesto de tres miembros, será constituido para cada caso particular de la siguiente forma: Cada Parte Contratante, dentro de un plazo de dos meses de recibirse la petición de arbitraje, nombrará un miembro del tribunal. Los dos miembros así designados elegirán a un nacional de un tercer Estado, quien, con la aprobación de ambas Partes Contratantes, será nombrado presidente del tribunal. El presidente será designado dentro de un plazo de dos meses a partir de la fecha del nombramiento de los otros dos miembros.</w:t>
            </w:r>
          </w:p>
          <w:p w14:paraId="7511364C" w14:textId="77777777" w:rsidR="003B3957" w:rsidRPr="00AB7B88" w:rsidRDefault="003B3957" w:rsidP="00EB72EB">
            <w:pPr>
              <w:pStyle w:val="BodyText25"/>
              <w:numPr>
                <w:ilvl w:val="0"/>
                <w:numId w:val="38"/>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Si dentro de los plazos previstos en el párrafo (3) de este Artículo no se hubieren efectuado los nombramientos necesarios, cualquiera de las Partes Contratantes podrá, en ausencia de otro acuerdo, invitar el Presidente de la Corte Internacional de Justicia a que proceda a efectuar los nombramientos necesarios. En caso que el Presidente sea nacional de una de las dos Partes Contratantes o se halle por otra causa impedido de desempeñar dicha función, se invitará el Vicepresidente a efectuar las designaciones necesarias. Si el Vicepresidente fuere nacional de una de las dos Partes Contratantes o si se hallare también impedido de desempeñar dicha función, se invitara el miembro de la Corte Internacional de Justicia que siga inmediatamente en el orden jerárquico y no sea nacional de una de las dos Partes Contratantes a efectuar los nombramientos necesarios.</w:t>
            </w:r>
          </w:p>
          <w:p w14:paraId="305CEBC9" w14:textId="77777777" w:rsidR="003B3957" w:rsidRPr="00AB7B88" w:rsidRDefault="003B3957" w:rsidP="00EB72EB">
            <w:pPr>
              <w:pStyle w:val="BodyText25"/>
              <w:numPr>
                <w:ilvl w:val="0"/>
                <w:numId w:val="38"/>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El tribunal arbitral tomará su decisión sobre la base de las disposiciones de este Convenio, y las normas de derecho internacional y el derecho interno del Estado en el cual se realizó la inversión que diera origen a la controversia, cuando los considere aplicables.</w:t>
            </w:r>
          </w:p>
          <w:p w14:paraId="77CE4054" w14:textId="77777777" w:rsidR="003B3957" w:rsidRPr="00AB7B88" w:rsidRDefault="003B3957" w:rsidP="00EB72EB">
            <w:pPr>
              <w:pStyle w:val="BodyText25"/>
              <w:shd w:val="clear" w:color="auto" w:fill="auto"/>
              <w:tabs>
                <w:tab w:val="left" w:pos="369"/>
              </w:tabs>
              <w:spacing w:before="380" w:after="0" w:line="360" w:lineRule="auto"/>
              <w:ind w:left="23" w:right="113" w:firstLine="0"/>
              <w:jc w:val="left"/>
              <w:rPr>
                <w:rFonts w:ascii="Times New Roman" w:hAnsi="Times New Roman"/>
                <w:spacing w:val="4"/>
                <w:sz w:val="20"/>
              </w:rPr>
            </w:pPr>
            <w:r w:rsidRPr="00AB7B88">
              <w:rPr>
                <w:rStyle w:val="BodytextItalic"/>
                <w:rFonts w:eastAsia="Book Antiqua"/>
                <w:spacing w:val="4"/>
                <w:sz w:val="20"/>
                <w:lang w:val="es-AR"/>
              </w:rPr>
              <w:lastRenderedPageBreak/>
              <w:t>El tribunal arbitral determinará su propio procedimiento. Tomará su decisión por mayoría</w:t>
            </w:r>
            <w:r w:rsidRPr="00AB7B88">
              <w:rPr>
                <w:rStyle w:val="BodytextItalic"/>
                <w:rFonts w:eastAsia="Arial Unicode MS"/>
                <w:spacing w:val="4"/>
                <w:sz w:val="20"/>
                <w:lang w:val="es-AR"/>
              </w:rPr>
              <w:t xml:space="preserve"> </w:t>
            </w:r>
            <w:r w:rsidRPr="00AB7B88">
              <w:rPr>
                <w:rStyle w:val="BodytextItalic"/>
                <w:rFonts w:eastAsia="Book Antiqua"/>
                <w:spacing w:val="4"/>
                <w:sz w:val="20"/>
              </w:rPr>
              <w:t>de votos: tal decisión será definitiva y obligatoria para ambas Partes Contratantes.</w:t>
            </w:r>
          </w:p>
          <w:p w14:paraId="3E86CD34" w14:textId="77777777" w:rsidR="003B3957" w:rsidRPr="00AB7B88" w:rsidRDefault="003B3957" w:rsidP="00EB72EB">
            <w:pPr>
              <w:pStyle w:val="BodyText25"/>
              <w:numPr>
                <w:ilvl w:val="0"/>
                <w:numId w:val="39"/>
              </w:numPr>
              <w:shd w:val="clear" w:color="auto" w:fill="auto"/>
              <w:tabs>
                <w:tab w:val="left" w:pos="369"/>
              </w:tabs>
              <w:spacing w:before="380" w:after="0" w:line="360" w:lineRule="auto"/>
              <w:ind w:left="23" w:right="113" w:firstLine="0"/>
              <w:jc w:val="left"/>
              <w:rPr>
                <w:rFonts w:ascii="Times New Roman" w:hAnsi="Times New Roman"/>
                <w:sz w:val="20"/>
              </w:rPr>
            </w:pPr>
            <w:r w:rsidRPr="00AB7B88">
              <w:rPr>
                <w:rStyle w:val="BodytextItalic"/>
                <w:rFonts w:eastAsia="Book Antiqua"/>
                <w:sz w:val="20"/>
              </w:rPr>
              <w:t>Cada Parte Contratante sufragará los gastos de su propio miembro del tribunal y de su representación en el procedimiento arbitral; los gastos del Presidente, así como los demás costos, serán sufragados por partes iguales por las Partes Contratantes. No obstante, el Tribunal podrá, en su decisión, disponer que una mayor proporción de los gastos sea sufragada por una de las dos Partes Contratantes, y este laudo será obligatorio para ambas Partes Contratantes.</w:t>
            </w:r>
          </w:p>
          <w:p w14:paraId="547B12F0" w14:textId="77777777" w:rsidR="003B3957" w:rsidRPr="00AB7B88" w:rsidRDefault="003B3957" w:rsidP="00EB72EB">
            <w:pPr>
              <w:tabs>
                <w:tab w:val="left" w:pos="369"/>
              </w:tabs>
              <w:spacing w:before="380" w:line="360" w:lineRule="auto"/>
              <w:ind w:left="23" w:right="113"/>
              <w:rPr>
                <w:rFonts w:ascii="Times New Roman" w:hAnsi="Times New Roman"/>
                <w:sz w:val="20"/>
                <w:lang w:val="es-AR" w:eastAsia="en-US"/>
              </w:rPr>
            </w:pPr>
            <w:r w:rsidRPr="00AB7B88">
              <w:rPr>
                <w:rStyle w:val="BodytextItalic"/>
                <w:rFonts w:eastAsia="Arial Unicode MS"/>
                <w:spacing w:val="4"/>
                <w:sz w:val="20"/>
                <w:lang w:val="es-AR"/>
              </w:rPr>
              <w:t>Ninguna Parte Contratante promoverá una reclamación internacional respecto a una controversia que uno de sus nacionales o sociedades y la otra Parte Contratante hayan sometido a la decisión del tribunal competente de la Parte en cuyo territorio fue hecha la inversión o al arbitraje conforme al Artículo 8 de este Coaveaio, a meaos que esta otra Parte Contratante no haya acatado o cumplido con la sentencia pronunciada en esa controversia</w:t>
            </w:r>
            <w:r w:rsidRPr="00AB7B88">
              <w:rPr>
                <w:rStyle w:val="BodytextItalic"/>
                <w:rFonts w:eastAsia="Arial Unicode MS"/>
                <w:sz w:val="20"/>
                <w:lang w:val="es-AR"/>
              </w:rPr>
              <w:t>.</w:t>
            </w:r>
          </w:p>
        </w:tc>
      </w:tr>
    </w:tbl>
    <w:p w14:paraId="5D5B6371" w14:textId="77777777" w:rsidR="003B3957" w:rsidRPr="00AB7B88" w:rsidRDefault="003B3957" w:rsidP="00920A6D">
      <w:pPr>
        <w:pStyle w:val="Bodytext30"/>
        <w:widowControl w:val="0"/>
        <w:numPr>
          <w:ilvl w:val="0"/>
          <w:numId w:val="5"/>
        </w:numPr>
        <w:shd w:val="clear" w:color="auto" w:fill="auto"/>
        <w:tabs>
          <w:tab w:val="left" w:pos="510"/>
        </w:tabs>
        <w:spacing w:before="380" w:after="0" w:line="360" w:lineRule="auto"/>
        <w:ind w:left="540" w:hanging="520"/>
        <w:jc w:val="both"/>
        <w:rPr>
          <w:sz w:val="20"/>
        </w:rPr>
      </w:pPr>
      <w:bookmarkStart w:id="65" w:name="bookmark67"/>
      <w:bookmarkStart w:id="66" w:name="bookmark68"/>
      <w:r w:rsidRPr="00AB7B88">
        <w:rPr>
          <w:rStyle w:val="Bodytext3"/>
          <w:b/>
          <w:bCs/>
          <w:color w:val="000000"/>
          <w:sz w:val="20"/>
          <w:lang w:eastAsia="es-ES_tradnl"/>
        </w:rPr>
        <w:lastRenderedPageBreak/>
        <w:t>OBJECIONES A LA JURISDICCIÓN</w:t>
      </w:r>
      <w:bookmarkEnd w:id="65"/>
      <w:bookmarkEnd w:id="66"/>
    </w:p>
    <w:p w14:paraId="1602CB0F" w14:textId="77777777" w:rsidR="003B3957" w:rsidRPr="00AB7B88" w:rsidRDefault="003B3957" w:rsidP="000053F7">
      <w:pPr>
        <w:pStyle w:val="Bodytext51"/>
        <w:numPr>
          <w:ilvl w:val="0"/>
          <w:numId w:val="6"/>
        </w:numPr>
        <w:shd w:val="clear" w:color="auto" w:fill="auto"/>
        <w:tabs>
          <w:tab w:val="left" w:pos="543"/>
        </w:tabs>
        <w:spacing w:before="380" w:after="0" w:line="360" w:lineRule="auto"/>
        <w:ind w:left="540"/>
        <w:jc w:val="both"/>
        <w:rPr>
          <w:rStyle w:val="Bodytext5NotItalic"/>
          <w:rFonts w:ascii="Times New Roman" w:eastAsia="Arial Unicode MS" w:hAnsi="Times New Roman"/>
          <w:sz w:val="20"/>
          <w:lang w:val="es-AR"/>
        </w:rPr>
      </w:pPr>
      <w:r w:rsidRPr="00AB7B88">
        <w:rPr>
          <w:rStyle w:val="Bodytext5"/>
          <w:color w:val="000000"/>
          <w:sz w:val="20"/>
          <w:lang w:val="es-AR" w:eastAsia="es-ES_tradnl"/>
        </w:rPr>
        <w:t>La Demandada ha</w:t>
      </w:r>
      <w:r w:rsidRPr="00AB7B88">
        <w:rPr>
          <w:rStyle w:val="Bodytext5"/>
          <w:i/>
          <w:iCs/>
          <w:color w:val="000000"/>
          <w:sz w:val="20"/>
          <w:lang w:val="es-AR" w:eastAsia="es-ES_tradnl"/>
        </w:rPr>
        <w:t xml:space="preserve"> </w:t>
      </w:r>
      <w:r w:rsidRPr="00AB7B88">
        <w:rPr>
          <w:rStyle w:val="Bodytext5"/>
          <w:color w:val="000000"/>
          <w:sz w:val="20"/>
          <w:lang w:val="es-AR" w:eastAsia="es-ES_tradnl"/>
        </w:rPr>
        <w:t>formulado cuatro objeciones a la jurisdicción del Tribunal respecto de las</w:t>
      </w:r>
      <w:r w:rsidRPr="00AB7B88">
        <w:rPr>
          <w:rStyle w:val="Bodytext5"/>
          <w:i/>
          <w:iCs/>
          <w:color w:val="000000"/>
          <w:sz w:val="20"/>
          <w:lang w:val="es-AR" w:eastAsia="es-ES_tradnl"/>
        </w:rPr>
        <w:t xml:space="preserve"> </w:t>
      </w:r>
      <w:r w:rsidRPr="00AB7B88">
        <w:rPr>
          <w:rStyle w:val="Bodytext5NotItalic"/>
          <w:rFonts w:ascii="Times New Roman" w:eastAsia="Arial Unicode MS" w:hAnsi="Times New Roman"/>
          <w:i/>
          <w:iCs/>
          <w:sz w:val="20"/>
          <w:lang w:val="es-AR" w:eastAsia="es-ES_tradnl"/>
        </w:rPr>
        <w:t xml:space="preserve">pretensiones de los Demandantes: </w:t>
      </w:r>
      <w:r w:rsidRPr="00AB7B88">
        <w:rPr>
          <w:rStyle w:val="Bodytext5NotItalic"/>
          <w:rFonts w:ascii="Times New Roman" w:eastAsia="Arial Unicode MS" w:hAnsi="Times New Roman"/>
          <w:sz w:val="20"/>
          <w:lang w:val="es-AR" w:eastAsia="es-ES_tradnl"/>
        </w:rPr>
        <w:t>i)</w:t>
      </w:r>
      <w:r w:rsidRPr="00AB7B88">
        <w:rPr>
          <w:rStyle w:val="Bodytext5NotItalic"/>
          <w:rFonts w:ascii="Times New Roman" w:eastAsia="Arial Unicode MS" w:hAnsi="Times New Roman"/>
          <w:i/>
          <w:sz w:val="20"/>
          <w:lang w:val="es-AR" w:eastAsia="es-ES_tradnl"/>
        </w:rPr>
        <w:t xml:space="preserve"> </w:t>
      </w:r>
      <w:r w:rsidRPr="00AB7B88">
        <w:rPr>
          <w:rStyle w:val="Bodytext5"/>
          <w:i/>
          <w:color w:val="000000"/>
          <w:sz w:val="20"/>
          <w:lang w:val="es-AR" w:eastAsia="es-ES_tradnl"/>
        </w:rPr>
        <w:t>ratione temporis</w:t>
      </w:r>
      <w:r w:rsidRPr="00AB7B88">
        <w:rPr>
          <w:rStyle w:val="Bodytext5NotItalic"/>
          <w:rFonts w:ascii="Times New Roman" w:eastAsia="Arial Unicode MS" w:hAnsi="Times New Roman"/>
          <w:i/>
          <w:iCs/>
          <w:sz w:val="20"/>
          <w:lang w:val="es-AR" w:eastAsia="es-ES_tradnl"/>
        </w:rPr>
        <w:t xml:space="preserve"> </w:t>
      </w:r>
      <w:r w:rsidRPr="00AB7B88">
        <w:rPr>
          <w:rStyle w:val="Bodytext5NotItalic"/>
          <w:rFonts w:ascii="Times New Roman" w:eastAsia="Arial Unicode MS" w:hAnsi="Times New Roman"/>
          <w:iCs/>
          <w:sz w:val="20"/>
          <w:lang w:val="es-AR" w:eastAsia="es-ES_tradnl"/>
        </w:rPr>
        <w:t xml:space="preserve">porque los Demandantes no tenían una inversión al momento de los presuntos incumplimientos; ii) los Demandantes no realizaron </w:t>
      </w:r>
      <w:r w:rsidRPr="00AB7B88">
        <w:rPr>
          <w:rStyle w:val="Bodytext5"/>
          <w:color w:val="000000"/>
          <w:sz w:val="20"/>
          <w:lang w:val="es-AR" w:eastAsia="es-ES_tradnl"/>
        </w:rPr>
        <w:t>ninguna inversión en virtud del TBI; iii) falta de jurisdicción en lomo a las presuntas inversiones en la medida en que se transfirieron a terceros; y iv) el incumplimiento de los Demandantes con el</w:t>
      </w:r>
      <w:r w:rsidRPr="00AB7B88">
        <w:rPr>
          <w:rStyle w:val="Bodytext5"/>
          <w:iCs/>
          <w:color w:val="000000"/>
          <w:sz w:val="20"/>
          <w:lang w:val="es-AR" w:eastAsia="es-ES_tradnl"/>
        </w:rPr>
        <w:t xml:space="preserve"> </w:t>
      </w:r>
      <w:r w:rsidRPr="00AB7B88">
        <w:rPr>
          <w:rStyle w:val="Bodytext5NotItalic"/>
          <w:rFonts w:ascii="Times New Roman" w:eastAsia="Arial Unicode MS" w:hAnsi="Times New Roman"/>
          <w:iCs/>
          <w:sz w:val="20"/>
          <w:lang w:val="es-AR" w:eastAsia="es-ES_tradnl"/>
        </w:rPr>
        <w:t>requisito de litigación doméstica del TBI.</w:t>
      </w:r>
    </w:p>
    <w:p w14:paraId="0434AC3C" w14:textId="77777777" w:rsidR="003B3957" w:rsidRPr="00AB7B88" w:rsidRDefault="003B3957" w:rsidP="000053F7">
      <w:pPr>
        <w:pStyle w:val="Footnote20"/>
        <w:widowControl w:val="0"/>
        <w:numPr>
          <w:ilvl w:val="0"/>
          <w:numId w:val="6"/>
        </w:numPr>
        <w:shd w:val="clear" w:color="auto" w:fill="auto"/>
        <w:tabs>
          <w:tab w:val="left" w:pos="534"/>
        </w:tabs>
        <w:spacing w:before="380" w:line="360" w:lineRule="auto"/>
        <w:ind w:left="522" w:hanging="522"/>
        <w:jc w:val="both"/>
        <w:rPr>
          <w:sz w:val="20"/>
          <w:lang w:val="es-AR"/>
        </w:rPr>
      </w:pPr>
      <w:r w:rsidRPr="00AB7B88">
        <w:rPr>
          <w:rStyle w:val="Footnote2"/>
          <w:color w:val="000000"/>
          <w:sz w:val="20"/>
          <w:lang w:val="es-AR" w:eastAsia="es-ES_tradnl"/>
        </w:rPr>
        <w:t xml:space="preserve">Las dos primeras objeciones surgen de un </w:t>
      </w:r>
      <w:r w:rsidRPr="00AB7B88">
        <w:rPr>
          <w:rStyle w:val="Footnote2Italic"/>
          <w:rFonts w:ascii="Times New Roman" w:hAnsi="Times New Roman"/>
          <w:color w:val="000000"/>
          <w:sz w:val="20"/>
          <w:lang w:val="es-AR" w:eastAsia="es-ES_tradnl"/>
        </w:rPr>
        <w:t>trust</w:t>
      </w:r>
      <w:r w:rsidRPr="00AB7B88">
        <w:rPr>
          <w:rStyle w:val="Footnote2"/>
          <w:color w:val="000000"/>
          <w:sz w:val="20"/>
          <w:lang w:val="es-AR" w:eastAsia="es-ES_tradnl"/>
        </w:rPr>
        <w:t xml:space="preserve"> corporativo, llamado el </w:t>
      </w:r>
      <w:r w:rsidRPr="00AB7B88">
        <w:rPr>
          <w:rStyle w:val="Footnote2Italic"/>
          <w:rFonts w:ascii="Times New Roman" w:hAnsi="Times New Roman"/>
          <w:color w:val="000000"/>
          <w:sz w:val="20"/>
          <w:lang w:val="es-AR" w:eastAsia="es-ES_tradnl"/>
        </w:rPr>
        <w:t>Trust</w:t>
      </w:r>
      <w:r w:rsidRPr="00AB7B88">
        <w:rPr>
          <w:rStyle w:val="Footnote2"/>
          <w:color w:val="000000"/>
          <w:sz w:val="20"/>
          <w:lang w:val="es-AR" w:eastAsia="es-ES_tradnl"/>
        </w:rPr>
        <w:t xml:space="preserve"> P. Devi (el </w:t>
      </w:r>
      <w:r w:rsidRPr="00AB7B88">
        <w:rPr>
          <w:rStyle w:val="Footnote2Italic"/>
          <w:rFonts w:ascii="Times New Roman" w:hAnsi="Times New Roman"/>
          <w:color w:val="000000"/>
          <w:sz w:val="20"/>
          <w:lang w:val="es-AR" w:eastAsia="es-ES_tradnl"/>
        </w:rPr>
        <w:t>"Trust')</w:t>
      </w:r>
      <w:r w:rsidRPr="00AB7B88">
        <w:rPr>
          <w:rStyle w:val="Footnote2"/>
          <w:color w:val="000000"/>
          <w:sz w:val="20"/>
          <w:lang w:val="es-AR" w:eastAsia="es-ES_tradnl"/>
        </w:rPr>
        <w:t xml:space="preserve"> por medio del cual los Demandantes aducen que realizaron su inversión en Uruguay. En primer lugar, consta un resumen </w:t>
      </w:r>
      <w:r w:rsidRPr="00AB7B88">
        <w:rPr>
          <w:rStyle w:val="Footnote2"/>
          <w:color w:val="000000"/>
          <w:sz w:val="20"/>
          <w:lang w:val="es-AR" w:eastAsia="es-ES_tradnl"/>
        </w:rPr>
        <w:lastRenderedPageBreak/>
        <w:t xml:space="preserve">de los antecedentes de hecho y jurídicos del </w:t>
      </w:r>
      <w:r w:rsidRPr="00AB7B88">
        <w:rPr>
          <w:rStyle w:val="Footnote2Italic"/>
          <w:rFonts w:ascii="Times New Roman" w:hAnsi="Times New Roman"/>
          <w:color w:val="000000"/>
          <w:sz w:val="20"/>
          <w:lang w:val="es-AR" w:eastAsia="es-ES_tradnl"/>
        </w:rPr>
        <w:t>Trust</w:t>
      </w:r>
      <w:r w:rsidRPr="00AB7B88">
        <w:rPr>
          <w:rStyle w:val="Footnote2"/>
          <w:color w:val="000000"/>
          <w:sz w:val="20"/>
          <w:lang w:val="es-AR" w:eastAsia="es-ES_tradnl"/>
        </w:rPr>
        <w:t xml:space="preserve"> antes de los argumentos de </w:t>
      </w:r>
      <w:r w:rsidRPr="00AB7B88">
        <w:rPr>
          <w:rStyle w:val="Footnote2Italic"/>
          <w:rFonts w:ascii="Times New Roman" w:hAnsi="Times New Roman"/>
          <w:i w:val="0"/>
          <w:iCs w:val="0"/>
          <w:color w:val="000000"/>
          <w:sz w:val="20"/>
          <w:lang w:val="es-AR" w:eastAsia="es-ES_tradnl"/>
        </w:rPr>
        <w:t>las Partes.</w:t>
      </w:r>
    </w:p>
    <w:p w14:paraId="73C02C98" w14:textId="77777777" w:rsidR="003B3957" w:rsidRPr="00AB7B88" w:rsidRDefault="003B3957" w:rsidP="00DF3C8D">
      <w:pPr>
        <w:pStyle w:val="Heading20"/>
        <w:keepNext/>
        <w:keepLines/>
        <w:shd w:val="clear" w:color="auto" w:fill="auto"/>
        <w:spacing w:before="380" w:after="0" w:line="360" w:lineRule="auto"/>
        <w:ind w:left="340" w:hanging="340"/>
        <w:rPr>
          <w:rFonts w:ascii="Times New Roman" w:hAnsi="Times New Roman"/>
          <w:b w:val="0"/>
          <w:sz w:val="20"/>
        </w:rPr>
      </w:pPr>
      <w:bookmarkStart w:id="67" w:name="bookmark69"/>
      <w:r w:rsidRPr="00AB7B88">
        <w:rPr>
          <w:rStyle w:val="Heading2"/>
          <w:rFonts w:ascii="Times New Roman" w:hAnsi="Times New Roman"/>
          <w:b/>
          <w:color w:val="000000"/>
          <w:sz w:val="20"/>
          <w:lang w:eastAsia="es-ES_tradnl"/>
        </w:rPr>
        <w:t xml:space="preserve">1. El </w:t>
      </w:r>
      <w:r w:rsidRPr="00AB7B88">
        <w:rPr>
          <w:rStyle w:val="Heading2Italic"/>
          <w:rFonts w:ascii="Times New Roman" w:hAnsi="Times New Roman"/>
          <w:bCs/>
          <w:color w:val="000000"/>
          <w:sz w:val="20"/>
          <w:lang w:eastAsia="es-ES_tradnl"/>
        </w:rPr>
        <w:t>Trust</w:t>
      </w:r>
      <w:r w:rsidRPr="00AB7B88">
        <w:rPr>
          <w:rStyle w:val="Heading2"/>
          <w:rFonts w:ascii="Times New Roman" w:hAnsi="Times New Roman"/>
          <w:b/>
          <w:color w:val="000000"/>
          <w:sz w:val="20"/>
          <w:lang w:eastAsia="es-ES_tradnl"/>
        </w:rPr>
        <w:t xml:space="preserve"> P. Devi</w:t>
      </w:r>
      <w:bookmarkEnd w:id="67"/>
    </w:p>
    <w:p w14:paraId="2E7BC944" w14:textId="77777777" w:rsidR="003B3957" w:rsidRPr="00AB7B88" w:rsidRDefault="003B3957" w:rsidP="000053F7">
      <w:pPr>
        <w:pStyle w:val="Bodytext1"/>
        <w:numPr>
          <w:ilvl w:val="0"/>
          <w:numId w:val="40"/>
        </w:numPr>
        <w:shd w:val="clear" w:color="auto" w:fill="auto"/>
        <w:tabs>
          <w:tab w:val="left" w:pos="754"/>
        </w:tabs>
        <w:spacing w:before="380" w:line="360" w:lineRule="auto"/>
        <w:ind w:left="522" w:hanging="522"/>
        <w:jc w:val="both"/>
        <w:rPr>
          <w:sz w:val="20"/>
          <w:lang w:val="es-AR"/>
        </w:rPr>
      </w:pPr>
      <w:r w:rsidRPr="00AB7B88">
        <w:rPr>
          <w:rStyle w:val="Bodytext"/>
          <w:color w:val="000000"/>
          <w:sz w:val="20"/>
          <w:lang w:val="es-AR" w:eastAsia="es-ES_tradnl"/>
        </w:rPr>
        <w:t xml:space="preserve">El 1 de abril de 2008, el Sr. Agarwal estableció el </w:t>
      </w:r>
      <w:r w:rsidRPr="00AB7B88">
        <w:rPr>
          <w:rStyle w:val="BodytextItalic"/>
          <w:color w:val="000000"/>
          <w:sz w:val="20"/>
          <w:lang w:val="es-AR" w:eastAsia="es-ES_tradnl"/>
        </w:rPr>
        <w:t>Trust</w:t>
      </w:r>
      <w:r w:rsidRPr="00AB7B88">
        <w:rPr>
          <w:rStyle w:val="Bodytext"/>
          <w:color w:val="000000"/>
          <w:sz w:val="20"/>
          <w:lang w:val="es-AR" w:eastAsia="es-ES_tradnl"/>
        </w:rPr>
        <w:t xml:space="preserve"> al amparo de las leyes de las Islas Caimán</w:t>
      </w:r>
      <w:r w:rsidRPr="00AB7B88">
        <w:rPr>
          <w:rStyle w:val="Bodytext"/>
          <w:color w:val="000000"/>
          <w:sz w:val="20"/>
          <w:vertAlign w:val="superscript"/>
          <w:lang w:eastAsia="es-ES_tradnl"/>
        </w:rPr>
        <w:footnoteReference w:id="94"/>
      </w:r>
      <w:r w:rsidRPr="00AB7B88">
        <w:rPr>
          <w:rStyle w:val="Bodytext"/>
          <w:color w:val="000000"/>
          <w:sz w:val="20"/>
          <w:lang w:val="es-AR" w:eastAsia="es-ES_tradnl"/>
        </w:rPr>
        <w:t xml:space="preserve">. El Sr. Agarwal designó a su cuñado, el Sr. Sushil Jiwarajka, como Protector del </w:t>
      </w:r>
      <w:r w:rsidRPr="00AB7B88">
        <w:rPr>
          <w:rStyle w:val="BodytextItalic"/>
          <w:color w:val="000000"/>
          <w:sz w:val="20"/>
          <w:lang w:val="es-AR" w:eastAsia="es-ES_tradnl"/>
        </w:rPr>
        <w:t>Trust,</w:t>
      </w:r>
      <w:r w:rsidRPr="00AB7B88">
        <w:rPr>
          <w:rStyle w:val="Bodytext"/>
          <w:color w:val="000000"/>
          <w:sz w:val="20"/>
          <w:lang w:val="es-AR" w:eastAsia="es-ES_tradnl"/>
        </w:rPr>
        <w:t xml:space="preserve"> y a Cayman National Trust Co. Ltd. y a su presidente, Ian Phillips, como </w:t>
      </w:r>
      <w:r w:rsidRPr="00AB7B88">
        <w:rPr>
          <w:rStyle w:val="BodytextItalic"/>
          <w:color w:val="000000"/>
          <w:sz w:val="20"/>
          <w:lang w:val="es-AR" w:eastAsia="es-ES_tradnl"/>
        </w:rPr>
        <w:t>Trustees</w:t>
      </w:r>
      <w:r w:rsidRPr="00AB7B88">
        <w:rPr>
          <w:rStyle w:val="Bodytext"/>
          <w:color w:val="000000"/>
          <w:sz w:val="20"/>
          <w:lang w:val="es-AR" w:eastAsia="es-ES_tradnl"/>
        </w:rPr>
        <w:t xml:space="preserve"> iniciales</w:t>
      </w:r>
      <w:r w:rsidRPr="00AB7B88">
        <w:rPr>
          <w:rStyle w:val="Bodytext"/>
          <w:color w:val="000000"/>
          <w:sz w:val="20"/>
          <w:vertAlign w:val="superscript"/>
          <w:lang w:eastAsia="es-ES_tradnl"/>
        </w:rPr>
        <w:footnoteReference w:id="95"/>
      </w:r>
      <w:r w:rsidRPr="00AB7B88">
        <w:rPr>
          <w:rStyle w:val="Bodytext"/>
          <w:color w:val="000000"/>
          <w:sz w:val="20"/>
          <w:lang w:val="es-AR" w:eastAsia="es-ES_tradnl"/>
        </w:rPr>
        <w:t>.</w:t>
      </w:r>
    </w:p>
    <w:p w14:paraId="5DE50DE4" w14:textId="77777777" w:rsidR="003B3957" w:rsidRPr="00AB7B88" w:rsidRDefault="003B3957" w:rsidP="000053F7">
      <w:pPr>
        <w:pStyle w:val="Bodytext1"/>
        <w:numPr>
          <w:ilvl w:val="0"/>
          <w:numId w:val="40"/>
        </w:numPr>
        <w:shd w:val="clear" w:color="auto" w:fill="auto"/>
        <w:tabs>
          <w:tab w:val="left" w:pos="758"/>
        </w:tabs>
        <w:spacing w:before="380" w:line="360" w:lineRule="auto"/>
        <w:ind w:left="522" w:hanging="522"/>
        <w:jc w:val="both"/>
        <w:rPr>
          <w:sz w:val="20"/>
          <w:lang w:val="es-AR"/>
        </w:rPr>
      </w:pPr>
      <w:r w:rsidRPr="00AB7B88">
        <w:rPr>
          <w:rStyle w:val="Bodytext"/>
          <w:color w:val="000000"/>
          <w:sz w:val="20"/>
          <w:lang w:val="es-AR" w:eastAsia="es-ES_tradnl"/>
        </w:rPr>
        <w:t xml:space="preserve">Según los Demandantes, el </w:t>
      </w:r>
      <w:r w:rsidRPr="00AB7B88">
        <w:rPr>
          <w:rStyle w:val="BodytextItalic"/>
          <w:color w:val="000000"/>
          <w:sz w:val="20"/>
          <w:lang w:val="es-AR" w:eastAsia="es-ES_tradnl"/>
        </w:rPr>
        <w:t>Trust</w:t>
      </w:r>
      <w:r w:rsidRPr="00AB7B88">
        <w:rPr>
          <w:rStyle w:val="Bodytext"/>
          <w:color w:val="000000"/>
          <w:sz w:val="20"/>
          <w:lang w:val="es-AR" w:eastAsia="es-ES_tradnl"/>
        </w:rPr>
        <w:t xml:space="preserve"> es el propietario exclusivo de Devi Ltd., que a su vez es el propietario exclusivo de Zamin Ferrous Limited ("Zamin")</w:t>
      </w:r>
      <w:r w:rsidRPr="00AB7B88">
        <w:rPr>
          <w:rStyle w:val="Bodytext"/>
          <w:color w:val="000000"/>
          <w:sz w:val="20"/>
          <w:vertAlign w:val="superscript"/>
          <w:lang w:eastAsia="es-ES_tradnl"/>
        </w:rPr>
        <w:footnoteReference w:id="96"/>
      </w:r>
      <w:r w:rsidRPr="00AB7B88">
        <w:rPr>
          <w:rStyle w:val="Bodytext"/>
          <w:color w:val="000000"/>
          <w:sz w:val="20"/>
          <w:lang w:val="es-AR" w:eastAsia="es-ES_tradnl"/>
        </w:rPr>
        <w:t xml:space="preserve">. El </w:t>
      </w:r>
      <w:r w:rsidRPr="00AB7B88">
        <w:rPr>
          <w:rStyle w:val="BodytextItalic"/>
          <w:color w:val="000000"/>
          <w:sz w:val="20"/>
          <w:lang w:val="es-AR" w:eastAsia="es-ES_tradnl"/>
        </w:rPr>
        <w:t>Trust</w:t>
      </w:r>
      <w:r w:rsidRPr="00AB7B88">
        <w:rPr>
          <w:rStyle w:val="Bodytext"/>
          <w:color w:val="000000"/>
          <w:sz w:val="20"/>
          <w:lang w:val="es-AR" w:eastAsia="es-ES_tradnl"/>
        </w:rPr>
        <w:t xml:space="preserve"> comprendía bienes asociados principalmente a dos proyectos de Zamin: el proyecto de mineral de hierro Bahía Mineraqáo Limitada ("BML"), situado en Brasil, y el Proyecto Valentines, en sus etapas iniciales</w:t>
      </w:r>
      <w:r w:rsidRPr="00AB7B88">
        <w:rPr>
          <w:rStyle w:val="Bodytext"/>
          <w:color w:val="000000"/>
          <w:sz w:val="20"/>
          <w:vertAlign w:val="superscript"/>
          <w:lang w:eastAsia="es-ES_tradnl"/>
        </w:rPr>
        <w:footnoteReference w:id="97"/>
      </w:r>
      <w:r w:rsidRPr="00AB7B88">
        <w:rPr>
          <w:rStyle w:val="Bodytext"/>
          <w:color w:val="000000"/>
          <w:sz w:val="20"/>
          <w:lang w:val="es-AR" w:eastAsia="es-ES_tradnl"/>
        </w:rPr>
        <w:t>.</w:t>
      </w:r>
    </w:p>
    <w:p w14:paraId="3752DC04" w14:textId="77777777" w:rsidR="003B3957" w:rsidRPr="00AB7B88" w:rsidRDefault="003B3957" w:rsidP="000053F7">
      <w:pPr>
        <w:pStyle w:val="Bodytext1"/>
        <w:numPr>
          <w:ilvl w:val="0"/>
          <w:numId w:val="40"/>
        </w:numPr>
        <w:shd w:val="clear" w:color="auto" w:fill="auto"/>
        <w:tabs>
          <w:tab w:val="left" w:pos="754"/>
        </w:tabs>
        <w:spacing w:before="380" w:line="360" w:lineRule="auto"/>
        <w:ind w:left="522" w:hanging="522"/>
        <w:jc w:val="both"/>
        <w:rPr>
          <w:sz w:val="20"/>
          <w:lang w:val="es-AR"/>
        </w:rPr>
      </w:pPr>
      <w:r w:rsidRPr="00AB7B88">
        <w:rPr>
          <w:rStyle w:val="Bodytext"/>
          <w:color w:val="000000"/>
          <w:sz w:val="20"/>
          <w:lang w:val="es-AR" w:eastAsia="es-ES_tradnl"/>
        </w:rPr>
        <w:t xml:space="preserve">Entre otros, el Sr. Agarwal designó a sus cuatro hijos como beneficiarios del </w:t>
      </w:r>
      <w:r w:rsidRPr="00AB7B88">
        <w:rPr>
          <w:rStyle w:val="BodytextItalic"/>
          <w:color w:val="000000"/>
          <w:sz w:val="20"/>
          <w:lang w:val="es-AR" w:eastAsia="es-ES_tradnl"/>
        </w:rPr>
        <w:t>Trust,</w:t>
      </w:r>
      <w:r w:rsidRPr="00AB7B88">
        <w:rPr>
          <w:rStyle w:val="Bodytext"/>
          <w:color w:val="000000"/>
          <w:sz w:val="20"/>
          <w:lang w:val="es-AR" w:eastAsia="es-ES_tradnl"/>
        </w:rPr>
        <w:t xml:space="preserve"> incluyendo a los tres Demandantes en el presente procedimiento. Asimismo, el Sr. Agarwal se designó a sí mismo, a su esposa, a descendientes más lejanos (nietos y demás descendientes) y a "cualquier organización benéfica" como beneficiarios adicionales</w:t>
      </w:r>
      <w:r w:rsidRPr="00AB7B88">
        <w:rPr>
          <w:rStyle w:val="Bodytext"/>
          <w:color w:val="000000"/>
          <w:sz w:val="20"/>
          <w:vertAlign w:val="superscript"/>
          <w:lang w:eastAsia="es-ES_tradnl"/>
        </w:rPr>
        <w:footnoteReference w:id="98"/>
      </w:r>
      <w:r w:rsidRPr="00AB7B88">
        <w:rPr>
          <w:rStyle w:val="Bodytext"/>
          <w:color w:val="000000"/>
          <w:sz w:val="20"/>
          <w:lang w:val="es-AR" w:eastAsia="es-ES_tradnl"/>
        </w:rPr>
        <w:t xml:space="preserve">. En la cláusula 19 de la escritura del </w:t>
      </w:r>
      <w:r w:rsidRPr="00AB7B88">
        <w:rPr>
          <w:rStyle w:val="BodytextItalic"/>
          <w:color w:val="000000"/>
          <w:sz w:val="20"/>
          <w:lang w:val="es-AR" w:eastAsia="es-ES_tradnl"/>
        </w:rPr>
        <w:t>Trust</w:t>
      </w:r>
      <w:r w:rsidRPr="00AB7B88">
        <w:rPr>
          <w:rStyle w:val="Bodytext"/>
          <w:color w:val="000000"/>
          <w:sz w:val="20"/>
          <w:lang w:val="es-AR" w:eastAsia="es-ES_tradnl"/>
        </w:rPr>
        <w:t xml:space="preserve"> se estipuló además que los </w:t>
      </w:r>
      <w:r w:rsidRPr="00AB7B88">
        <w:rPr>
          <w:rStyle w:val="BodytextItalic"/>
          <w:color w:val="000000"/>
          <w:sz w:val="20"/>
          <w:lang w:val="es-AR" w:eastAsia="es-ES_tradnl"/>
        </w:rPr>
        <w:t>Trustees,</w:t>
      </w:r>
      <w:r w:rsidRPr="00AB7B88">
        <w:rPr>
          <w:rStyle w:val="Bodytext"/>
          <w:color w:val="000000"/>
          <w:sz w:val="20"/>
          <w:lang w:val="es-AR" w:eastAsia="es-ES_tradnl"/>
        </w:rPr>
        <w:t xml:space="preserve"> con el consentimiento del Sr. Agarwal, podrían "agregar a la categoría de beneficiarios a toda persona o categoría de personas [...] que los </w:t>
      </w:r>
      <w:r w:rsidRPr="00AB7B88">
        <w:rPr>
          <w:rStyle w:val="BodytextItalic"/>
          <w:color w:val="000000"/>
          <w:sz w:val="20"/>
          <w:lang w:val="es-AR" w:eastAsia="es-ES_tradnl"/>
        </w:rPr>
        <w:t>Trustees</w:t>
      </w:r>
      <w:r w:rsidRPr="00AB7B88">
        <w:rPr>
          <w:rStyle w:val="Bodytext"/>
          <w:color w:val="000000"/>
          <w:sz w:val="20"/>
          <w:lang w:val="es-AR" w:eastAsia="es-ES_tradnl"/>
        </w:rPr>
        <w:t xml:space="preserve"> consideren oportuno</w:t>
      </w:r>
      <w:r w:rsidRPr="00AB7B88">
        <w:rPr>
          <w:rStyle w:val="Bodytext"/>
          <w:color w:val="000000"/>
          <w:sz w:val="20"/>
          <w:vertAlign w:val="superscript"/>
          <w:lang w:eastAsia="es-ES_tradnl"/>
        </w:rPr>
        <w:footnoteReference w:id="99"/>
      </w:r>
      <w:r w:rsidRPr="00AB7B88">
        <w:rPr>
          <w:rStyle w:val="Bodytext"/>
          <w:color w:val="000000"/>
          <w:sz w:val="20"/>
          <w:lang w:val="es-AR" w:eastAsia="es-ES_tradnl"/>
        </w:rPr>
        <w:t>".</w:t>
      </w:r>
    </w:p>
    <w:p w14:paraId="00CF466C" w14:textId="77777777" w:rsidR="003B3957" w:rsidRPr="00AB7B88" w:rsidRDefault="003B3957" w:rsidP="00CB52BB">
      <w:pPr>
        <w:pStyle w:val="Bodytext1"/>
        <w:numPr>
          <w:ilvl w:val="0"/>
          <w:numId w:val="40"/>
        </w:numPr>
        <w:shd w:val="clear" w:color="auto" w:fill="auto"/>
        <w:tabs>
          <w:tab w:val="left" w:pos="754"/>
        </w:tabs>
        <w:spacing w:before="380" w:line="360" w:lineRule="auto"/>
        <w:ind w:left="522" w:hanging="522"/>
        <w:jc w:val="both"/>
        <w:rPr>
          <w:sz w:val="20"/>
          <w:lang w:val="es-AR"/>
        </w:rPr>
      </w:pPr>
      <w:r w:rsidRPr="00AB7B88">
        <w:rPr>
          <w:rStyle w:val="Bodytext"/>
          <w:color w:val="000000"/>
          <w:sz w:val="20"/>
          <w:lang w:val="es-AR" w:eastAsia="es-ES_tradnl"/>
        </w:rPr>
        <w:t xml:space="preserve">La escritura del </w:t>
      </w:r>
      <w:r w:rsidRPr="00AB7B88">
        <w:rPr>
          <w:rStyle w:val="BodytextItalic"/>
          <w:color w:val="000000"/>
          <w:sz w:val="20"/>
          <w:lang w:val="es-AR" w:eastAsia="es-ES_tradnl"/>
        </w:rPr>
        <w:t>Trust</w:t>
      </w:r>
      <w:r w:rsidRPr="00AB7B88">
        <w:rPr>
          <w:rStyle w:val="Bodytext"/>
          <w:color w:val="000000"/>
          <w:sz w:val="20"/>
          <w:lang w:val="es-AR" w:eastAsia="es-ES_tradnl"/>
        </w:rPr>
        <w:t xml:space="preserve"> confiere discrecionalidad a los </w:t>
      </w:r>
      <w:r w:rsidRPr="00AB7B88">
        <w:rPr>
          <w:rStyle w:val="BodytextItalic"/>
          <w:color w:val="000000"/>
          <w:sz w:val="20"/>
          <w:lang w:val="es-AR" w:eastAsia="es-ES_tradnl"/>
        </w:rPr>
        <w:t>Trustees</w:t>
      </w:r>
      <w:r w:rsidRPr="00AB7B88">
        <w:rPr>
          <w:rStyle w:val="Bodytext"/>
          <w:color w:val="000000"/>
          <w:sz w:val="20"/>
          <w:lang w:val="es-AR" w:eastAsia="es-ES_tradnl"/>
        </w:rPr>
        <w:t xml:space="preserve"> respecto al pago de la renta generada o el capital del Fondo del </w:t>
      </w:r>
      <w:r w:rsidRPr="00AB7B88">
        <w:rPr>
          <w:rStyle w:val="BodytextItalic"/>
          <w:color w:val="000000"/>
          <w:sz w:val="20"/>
          <w:lang w:val="es-AR" w:eastAsia="es-ES_tradnl"/>
        </w:rPr>
        <w:t>Trust</w:t>
      </w:r>
      <w:r w:rsidRPr="00AB7B88">
        <w:rPr>
          <w:rStyle w:val="Bodytext"/>
          <w:color w:val="000000"/>
          <w:sz w:val="20"/>
          <w:lang w:val="es-AR" w:eastAsia="es-ES_tradnl"/>
        </w:rPr>
        <w:t xml:space="preserve"> a favor de un beneficiario con exclusión de otros</w:t>
      </w:r>
      <w:r w:rsidRPr="00AB7B88">
        <w:rPr>
          <w:rStyle w:val="Bodytext"/>
          <w:color w:val="000000"/>
          <w:sz w:val="20"/>
          <w:vertAlign w:val="superscript"/>
          <w:lang w:eastAsia="es-ES_tradnl"/>
        </w:rPr>
        <w:footnoteReference w:id="100"/>
      </w:r>
      <w:r w:rsidRPr="00AB7B88">
        <w:rPr>
          <w:rStyle w:val="Bodytext"/>
          <w:color w:val="000000"/>
          <w:sz w:val="20"/>
          <w:lang w:val="es-AR" w:eastAsia="es-ES_tradnl"/>
        </w:rPr>
        <w:t xml:space="preserve">. La escritura también dispone </w:t>
      </w:r>
      <w:r w:rsidRPr="00AB7B88">
        <w:rPr>
          <w:rStyle w:val="Bodytext"/>
          <w:color w:val="000000"/>
          <w:sz w:val="20"/>
          <w:lang w:val="es-AR" w:eastAsia="es-ES_tradnl"/>
        </w:rPr>
        <w:lastRenderedPageBreak/>
        <w:t xml:space="preserve">que, en la medida en que existan múltiples beneficiarios de cualquier aspecto o la totalidad del </w:t>
      </w:r>
      <w:r w:rsidRPr="00AB7B88">
        <w:rPr>
          <w:rStyle w:val="BodytextItalic"/>
          <w:color w:val="000000"/>
          <w:sz w:val="20"/>
          <w:lang w:val="es-AR" w:eastAsia="es-ES_tradnl"/>
        </w:rPr>
        <w:t>Trust,</w:t>
      </w:r>
      <w:r w:rsidRPr="00AB7B88">
        <w:rPr>
          <w:rStyle w:val="Bodytext"/>
          <w:color w:val="000000"/>
          <w:sz w:val="20"/>
          <w:lang w:val="es-AR" w:eastAsia="es-ES_tradnl"/>
        </w:rPr>
        <w:t xml:space="preserve"> los </w:t>
      </w:r>
      <w:r w:rsidRPr="00AB7B88">
        <w:rPr>
          <w:rStyle w:val="BodytextItalic"/>
          <w:color w:val="000000"/>
          <w:sz w:val="20"/>
          <w:lang w:val="es-AR" w:eastAsia="es-ES_tradnl"/>
        </w:rPr>
        <w:t>Trustees</w:t>
      </w:r>
      <w:r w:rsidRPr="00AB7B88">
        <w:rPr>
          <w:rStyle w:val="Bodytext"/>
          <w:color w:val="000000"/>
          <w:sz w:val="20"/>
          <w:lang w:val="es-AR" w:eastAsia="es-ES_tradnl"/>
        </w:rPr>
        <w:t xml:space="preserve"> pueden ignorar los derechos de un beneficiario y favorecer a</w:t>
      </w:r>
      <w:r w:rsidR="00CB52BB" w:rsidRPr="00AB7B88">
        <w:rPr>
          <w:sz w:val="20"/>
          <w:lang w:val="es-AR"/>
        </w:rPr>
        <w:t xml:space="preserve"> </w:t>
      </w:r>
      <w:r w:rsidRPr="00AB7B88">
        <w:rPr>
          <w:rStyle w:val="Bodytext"/>
          <w:color w:val="000000"/>
          <w:sz w:val="20"/>
          <w:lang w:val="es-AR" w:eastAsia="es-ES_tradnl"/>
        </w:rPr>
        <w:t>otros</w:t>
      </w:r>
      <w:r w:rsidRPr="00AB7B88">
        <w:rPr>
          <w:rStyle w:val="Bodytext"/>
          <w:color w:val="000000"/>
          <w:sz w:val="20"/>
          <w:vertAlign w:val="superscript"/>
          <w:lang w:eastAsia="es-ES_tradnl"/>
        </w:rPr>
        <w:footnoteReference w:id="101"/>
      </w:r>
      <w:r w:rsidRPr="00AB7B88">
        <w:rPr>
          <w:rStyle w:val="Bodytext"/>
          <w:color w:val="000000"/>
          <w:sz w:val="20"/>
          <w:lang w:val="es-AR" w:eastAsia="es-ES_tradnl"/>
        </w:rPr>
        <w:t>.</w:t>
      </w:r>
    </w:p>
    <w:p w14:paraId="2ACD3CDB" w14:textId="77777777" w:rsidR="003B3957" w:rsidRPr="00AB7B88" w:rsidRDefault="003B3957" w:rsidP="000053F7">
      <w:pPr>
        <w:pStyle w:val="Bodytext1"/>
        <w:numPr>
          <w:ilvl w:val="0"/>
          <w:numId w:val="40"/>
        </w:numPr>
        <w:shd w:val="clear" w:color="auto" w:fill="auto"/>
        <w:tabs>
          <w:tab w:val="left" w:pos="754"/>
        </w:tabs>
        <w:spacing w:before="380" w:line="360" w:lineRule="auto"/>
        <w:ind w:left="522" w:hanging="522"/>
        <w:jc w:val="both"/>
        <w:rPr>
          <w:sz w:val="20"/>
          <w:lang w:val="es-AR"/>
        </w:rPr>
      </w:pPr>
      <w:r w:rsidRPr="00AB7B88">
        <w:rPr>
          <w:rStyle w:val="Bodytext"/>
          <w:color w:val="000000"/>
          <w:sz w:val="20"/>
          <w:lang w:val="es-AR" w:eastAsia="es-ES_tradnl"/>
        </w:rPr>
        <w:t xml:space="preserve">La escritura del </w:t>
      </w:r>
      <w:r w:rsidRPr="00AB7B88">
        <w:rPr>
          <w:rStyle w:val="BodytextItalic"/>
          <w:color w:val="000000"/>
          <w:sz w:val="20"/>
          <w:lang w:val="es-AR" w:eastAsia="es-ES_tradnl"/>
        </w:rPr>
        <w:t>Trust</w:t>
      </w:r>
      <w:r w:rsidRPr="00AB7B88">
        <w:rPr>
          <w:rStyle w:val="Bodytext"/>
          <w:color w:val="000000"/>
          <w:sz w:val="20"/>
          <w:lang w:val="es-AR" w:eastAsia="es-ES_tradnl"/>
        </w:rPr>
        <w:t xml:space="preserve"> habilita a los </w:t>
      </w:r>
      <w:r w:rsidRPr="00AB7B88">
        <w:rPr>
          <w:rStyle w:val="BodytextItalic"/>
          <w:color w:val="000000"/>
          <w:sz w:val="20"/>
          <w:lang w:val="es-AR" w:eastAsia="es-ES_tradnl"/>
        </w:rPr>
        <w:t>Trustees,</w:t>
      </w:r>
      <w:r w:rsidRPr="00AB7B88">
        <w:rPr>
          <w:rStyle w:val="Bodytext"/>
          <w:color w:val="000000"/>
          <w:sz w:val="20"/>
          <w:lang w:val="es-AR" w:eastAsia="es-ES_tradnl"/>
        </w:rPr>
        <w:t xml:space="preserve"> con el consentimiento del Protector del </w:t>
      </w:r>
      <w:r w:rsidRPr="00AB7B88">
        <w:rPr>
          <w:rStyle w:val="BodytextItalic"/>
          <w:color w:val="000000"/>
          <w:sz w:val="20"/>
          <w:lang w:val="es-AR" w:eastAsia="es-ES_tradnl"/>
        </w:rPr>
        <w:t>Trust,</w:t>
      </w:r>
      <w:r w:rsidRPr="00AB7B88">
        <w:rPr>
          <w:rStyle w:val="Bodytext"/>
          <w:color w:val="000000"/>
          <w:sz w:val="20"/>
          <w:lang w:val="es-AR" w:eastAsia="es-ES_tradnl"/>
        </w:rPr>
        <w:t xml:space="preserve"> a "declarar por escrito que una persona o categoría de personas [...] que estén, sean o puedan ser de otro modo beneficiarías conforme a esta escritura serán [...] excluidas parcialmente de recibir beneficios adicionales en virtud de la presente escritura; o [...] una Persona excluida</w:t>
      </w:r>
      <w:r w:rsidRPr="00AB7B88">
        <w:rPr>
          <w:rStyle w:val="FootnoteReference"/>
          <w:color w:val="000000"/>
          <w:sz w:val="20"/>
          <w:lang w:eastAsia="es-ES_tradnl"/>
        </w:rPr>
        <w:footnoteReference w:id="102"/>
      </w:r>
      <w:r w:rsidRPr="00AB7B88">
        <w:rPr>
          <w:rStyle w:val="Bodytext"/>
          <w:color w:val="000000"/>
          <w:sz w:val="20"/>
          <w:lang w:val="es-AR" w:eastAsia="es-ES_tradnl"/>
        </w:rPr>
        <w:t xml:space="preserve">". Cualquier </w:t>
      </w:r>
      <w:r w:rsidRPr="00AB7B88">
        <w:rPr>
          <w:rStyle w:val="Bodytext13125pt"/>
          <w:rFonts w:ascii="Times New Roman" w:hAnsi="Times New Roman"/>
          <w:b w:val="0"/>
          <w:bCs w:val="0"/>
          <w:i w:val="0"/>
          <w:iCs w:val="0"/>
          <w:smallCaps w:val="0"/>
          <w:color w:val="000000"/>
          <w:sz w:val="20"/>
          <w:lang w:val="es-AR" w:eastAsia="es-ES_tradnl"/>
        </w:rPr>
        <w:t>declaración de este tipo entrará en</w:t>
      </w:r>
      <w:r w:rsidRPr="00AB7B88">
        <w:rPr>
          <w:rStyle w:val="Bodytext13125pt"/>
          <w:rFonts w:ascii="Times New Roman" w:hAnsi="Times New Roman"/>
          <w:b w:val="0"/>
          <w:smallCaps w:val="0"/>
          <w:color w:val="000000"/>
          <w:sz w:val="20"/>
          <w:lang w:val="es-AR" w:eastAsia="es-ES_tradnl"/>
        </w:rPr>
        <w:t xml:space="preserve"> </w:t>
      </w:r>
      <w:r w:rsidRPr="00AB7B88">
        <w:rPr>
          <w:rStyle w:val="Bodytext13125pt"/>
          <w:rFonts w:ascii="Times New Roman" w:hAnsi="Times New Roman"/>
          <w:b w:val="0"/>
          <w:bCs w:val="0"/>
          <w:i w:val="0"/>
          <w:iCs w:val="0"/>
          <w:smallCaps w:val="0"/>
          <w:color w:val="000000"/>
          <w:sz w:val="20"/>
          <w:lang w:val="es-AR" w:eastAsia="es-ES_tradnl"/>
        </w:rPr>
        <w:t xml:space="preserve">vigor </w:t>
      </w:r>
      <w:r w:rsidRPr="00AB7B88">
        <w:rPr>
          <w:rStyle w:val="Bodytext13125pt"/>
          <w:rFonts w:ascii="Times New Roman" w:hAnsi="Times New Roman"/>
          <w:i w:val="0"/>
          <w:iCs w:val="0"/>
          <w:smallCaps w:val="0"/>
          <w:color w:val="000000"/>
          <w:sz w:val="20"/>
          <w:lang w:val="es-AR" w:eastAsia="es-ES_tradnl"/>
        </w:rPr>
        <w:t>"</w:t>
      </w:r>
      <w:r w:rsidRPr="00AB7B88">
        <w:rPr>
          <w:rStyle w:val="Bodytext13125pt"/>
          <w:rFonts w:ascii="Times New Roman" w:hAnsi="Times New Roman"/>
          <w:b w:val="0"/>
          <w:bCs w:val="0"/>
          <w:i w:val="0"/>
          <w:iCs w:val="0"/>
          <w:smallCaps w:val="0"/>
          <w:color w:val="000000"/>
          <w:sz w:val="20"/>
          <w:lang w:val="es-AR" w:eastAsia="es-ES_tradnl"/>
        </w:rPr>
        <w:t>a partir de la fecha especificada de la declaración</w:t>
      </w:r>
      <w:r w:rsidRPr="00AB7B88">
        <w:rPr>
          <w:rStyle w:val="Bodytext13125pt"/>
          <w:rFonts w:ascii="Times New Roman" w:hAnsi="Times New Roman"/>
          <w:b w:val="0"/>
          <w:bCs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[escrita]". La cláusula 18 dispone que "ninguna</w:t>
      </w:r>
      <w:r w:rsidRPr="00AB7B88">
        <w:rPr>
          <w:rStyle w:val="Bodytext52"/>
          <w:rFonts w:ascii="Times New Roman" w:hAnsi="Times New Roman"/>
          <w:b/>
          <w:bCs/>
          <w:color w:val="000000"/>
          <w:sz w:val="20"/>
          <w:lang w:val="es-AR" w:eastAsia="es-ES_tradnl"/>
        </w:rPr>
        <w:t xml:space="preserve"> </w:t>
      </w:r>
      <w:r w:rsidRPr="00AB7B88">
        <w:rPr>
          <w:rStyle w:val="Bodytext52"/>
          <w:rFonts w:ascii="Times New Roman" w:hAnsi="Times New Roman"/>
          <w:color w:val="000000"/>
          <w:sz w:val="20"/>
          <w:lang w:val="es-AR" w:eastAsia="es-ES_tradnl"/>
        </w:rPr>
        <w:t>Persona excluida podrá percibir un beneficio</w:t>
      </w:r>
      <w:r w:rsidRPr="00AB7B88">
        <w:rPr>
          <w:rStyle w:val="Bodytext52"/>
          <w:rFonts w:ascii="Times New Roman" w:hAnsi="Times New Roman"/>
          <w:b/>
          <w:bCs/>
          <w:color w:val="000000"/>
          <w:sz w:val="20"/>
          <w:lang w:val="es-AR" w:eastAsia="es-ES_tradnl"/>
        </w:rPr>
        <w:t xml:space="preserve"> </w:t>
      </w:r>
      <w:r w:rsidRPr="00AB7B88">
        <w:rPr>
          <w:rStyle w:val="Bodytext13125pt"/>
          <w:rFonts w:ascii="Times New Roman" w:hAnsi="Times New Roman"/>
          <w:b w:val="0"/>
          <w:bCs w:val="0"/>
          <w:i w:val="0"/>
          <w:iCs w:val="0"/>
          <w:smallCaps w:val="0"/>
          <w:color w:val="000000"/>
          <w:sz w:val="20"/>
          <w:lang w:val="es-AR" w:eastAsia="es-ES_tradnl"/>
        </w:rPr>
        <w:t>directo o indirecto de cualquier tipo en virtud de la presente escritura o como consecuencia de la</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misma</w:t>
      </w:r>
      <w:r w:rsidRPr="00AB7B88">
        <w:rPr>
          <w:rStyle w:val="Bodytext52"/>
          <w:rFonts w:ascii="Times New Roman" w:hAnsi="Times New Roman"/>
          <w:color w:val="000000"/>
          <w:sz w:val="20"/>
          <w:vertAlign w:val="superscript"/>
          <w:lang w:eastAsia="es-ES_tradnl"/>
        </w:rPr>
        <w:footnoteReference w:id="103"/>
      </w:r>
      <w:r w:rsidRPr="00AB7B88">
        <w:rPr>
          <w:rStyle w:val="Bodytext52"/>
          <w:rFonts w:ascii="Times New Roman" w:hAnsi="Times New Roman"/>
          <w:color w:val="000000"/>
          <w:sz w:val="20"/>
          <w:lang w:val="es-AR" w:eastAsia="es-ES_tradnl"/>
        </w:rPr>
        <w:t xml:space="preserve">[...]". a su vez, la cláusula 17.2 permite a cualquiera de los beneficiarios mencionados en 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declararse por escrito 'Persona excluida’ en virtud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a partir de la fecha de recepción de su declaración por parte de los </w:t>
      </w:r>
      <w:r w:rsidRPr="00AB7B88">
        <w:rPr>
          <w:rStyle w:val="Bodytext13125pt"/>
          <w:rFonts w:ascii="Times New Roman" w:hAnsi="Times New Roman"/>
          <w:b w:val="0"/>
          <w:bCs w:val="0"/>
          <w:smallCaps w:val="0"/>
          <w:color w:val="000000"/>
          <w:sz w:val="20"/>
          <w:lang w:val="es-AR" w:eastAsia="es-ES_tradnl"/>
        </w:rPr>
        <w:t>Trastees</w:t>
      </w:r>
      <w:r w:rsidRPr="00AB7B88">
        <w:rPr>
          <w:rStyle w:val="Bodytext13125pt"/>
          <w:rFonts w:ascii="Times New Roman" w:hAnsi="Times New Roman"/>
          <w:b w:val="0"/>
          <w:smallCaps w:val="0"/>
          <w:color w:val="000000"/>
          <w:sz w:val="20"/>
          <w:vertAlign w:val="superscript"/>
          <w:lang w:eastAsia="es-ES_tradnl"/>
        </w:rPr>
        <w:footnoteReference w:id="104"/>
      </w:r>
      <w:r w:rsidRPr="00AB7B88">
        <w:rPr>
          <w:rStyle w:val="Bodytext13125pt"/>
          <w:rFonts w:ascii="Times New Roman" w:hAnsi="Times New Roman"/>
          <w:b w:val="0"/>
          <w:smallCaps w:val="0"/>
          <w:color w:val="000000"/>
          <w:sz w:val="20"/>
          <w:lang w:val="es-AR" w:eastAsia="es-ES_tradnl"/>
        </w:rPr>
        <w:t>.</w:t>
      </w:r>
    </w:p>
    <w:p w14:paraId="1EA46A10" w14:textId="77777777" w:rsidR="003B3957" w:rsidRPr="00AB7B88" w:rsidRDefault="003B3957" w:rsidP="000053F7">
      <w:pPr>
        <w:pStyle w:val="Bodytext1"/>
        <w:numPr>
          <w:ilvl w:val="0"/>
          <w:numId w:val="41"/>
        </w:numPr>
        <w:shd w:val="clear" w:color="auto" w:fill="auto"/>
        <w:tabs>
          <w:tab w:val="left" w:pos="749"/>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Además de conferir a los </w:t>
      </w:r>
      <w:r w:rsidRPr="00AB7B88">
        <w:rPr>
          <w:rStyle w:val="Bodytext13125pt"/>
          <w:rFonts w:ascii="Times New Roman" w:hAnsi="Times New Roman"/>
          <w:b w:val="0"/>
          <w:bCs w:val="0"/>
          <w:smallCaps w:val="0"/>
          <w:color w:val="000000"/>
          <w:sz w:val="20"/>
          <w:lang w:val="es-AR" w:eastAsia="es-ES_tradnl"/>
        </w:rPr>
        <w:t>Trustees</w:t>
      </w:r>
      <w:r w:rsidRPr="00AB7B88">
        <w:rPr>
          <w:rStyle w:val="Bodytext52"/>
          <w:rFonts w:ascii="Times New Roman" w:hAnsi="Times New Roman"/>
          <w:color w:val="000000"/>
          <w:sz w:val="20"/>
          <w:lang w:val="es-AR" w:eastAsia="es-ES_tradnl"/>
        </w:rPr>
        <w:t xml:space="preserve"> la facultad de excluir a personas que, de otro modo, podrían estar legitimadas a percibir beneficios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la cláusula 19 dispone que, con el consentimiento del Sr. Agarwal, o, tras su fallecimiento, con el consentimiento del Protector, los </w:t>
      </w:r>
      <w:r w:rsidRPr="00AB7B88">
        <w:rPr>
          <w:rStyle w:val="Bodytext13125pt"/>
          <w:rFonts w:ascii="Times New Roman" w:hAnsi="Times New Roman"/>
          <w:b w:val="0"/>
          <w:bCs w:val="0"/>
          <w:smallCaps w:val="0"/>
          <w:color w:val="000000"/>
          <w:sz w:val="20"/>
          <w:lang w:val="es-AR" w:eastAsia="es-ES_tradnl"/>
        </w:rPr>
        <w:t>Trustees</w:t>
      </w:r>
      <w:r w:rsidRPr="00AB7B88">
        <w:rPr>
          <w:rStyle w:val="Bodytext52"/>
          <w:rFonts w:ascii="Times New Roman" w:hAnsi="Times New Roman"/>
          <w:color w:val="000000"/>
          <w:sz w:val="20"/>
          <w:lang w:val="es-AR" w:eastAsia="es-ES_tradnl"/>
        </w:rPr>
        <w:t xml:space="preserve"> estarán autorizados, en cualquier momento, a "incorporar a la categoría de beneficiarios a toda persona o categoría de personas [...] que los </w:t>
      </w:r>
      <w:r w:rsidRPr="00AB7B88">
        <w:rPr>
          <w:rStyle w:val="Bodytext13125pt"/>
          <w:rFonts w:ascii="Times New Roman" w:hAnsi="Times New Roman"/>
          <w:b w:val="0"/>
          <w:bCs w:val="0"/>
          <w:smallCaps w:val="0"/>
          <w:color w:val="000000"/>
          <w:sz w:val="20"/>
          <w:lang w:val="es-AR" w:eastAsia="es-ES_tradnl"/>
        </w:rPr>
        <w:t>Trustees</w:t>
      </w:r>
      <w:r w:rsidRPr="00AB7B88">
        <w:rPr>
          <w:rStyle w:val="Bodytext52"/>
          <w:rFonts w:ascii="Times New Roman" w:hAnsi="Times New Roman"/>
          <w:color w:val="000000"/>
          <w:sz w:val="20"/>
          <w:lang w:val="es-AR" w:eastAsia="es-ES_tradnl"/>
        </w:rPr>
        <w:t xml:space="preserve"> considerasen oportuno</w:t>
      </w:r>
      <w:r w:rsidRPr="00AB7B88">
        <w:rPr>
          <w:rStyle w:val="Bodytext52"/>
          <w:rFonts w:ascii="Times New Roman" w:hAnsi="Times New Roman"/>
          <w:color w:val="000000"/>
          <w:sz w:val="20"/>
          <w:vertAlign w:val="superscript"/>
          <w:lang w:eastAsia="es-ES_tradnl"/>
        </w:rPr>
        <w:footnoteReference w:id="105"/>
      </w:r>
      <w:r w:rsidRPr="00AB7B88">
        <w:rPr>
          <w:rStyle w:val="Bodytext52"/>
          <w:rFonts w:ascii="Times New Roman" w:hAnsi="Times New Roman"/>
          <w:color w:val="000000"/>
          <w:sz w:val="20"/>
          <w:lang w:val="es-AR" w:eastAsia="es-ES_tradnl"/>
        </w:rPr>
        <w:t xml:space="preserve">". La cláusula 19.3 de la escritura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exige que tales agregados se realicen por escrito</w:t>
      </w:r>
      <w:r w:rsidRPr="00AB7B88">
        <w:rPr>
          <w:rStyle w:val="Bodytext52"/>
          <w:rFonts w:ascii="Times New Roman" w:hAnsi="Times New Roman"/>
          <w:color w:val="000000"/>
          <w:sz w:val="20"/>
          <w:vertAlign w:val="superscript"/>
          <w:lang w:eastAsia="es-ES_tradnl"/>
        </w:rPr>
        <w:footnoteReference w:id="106"/>
      </w:r>
      <w:r w:rsidRPr="00AB7B88">
        <w:rPr>
          <w:rStyle w:val="Bodytext52"/>
          <w:rFonts w:ascii="Times New Roman" w:hAnsi="Times New Roman"/>
          <w:color w:val="000000"/>
          <w:sz w:val="20"/>
          <w:lang w:val="es-AR" w:eastAsia="es-ES_tradnl"/>
        </w:rPr>
        <w:t>.</w:t>
      </w:r>
    </w:p>
    <w:p w14:paraId="2485B840" w14:textId="77777777" w:rsidR="003B3957" w:rsidRPr="00AB7B88" w:rsidRDefault="003B3957" w:rsidP="000053F7">
      <w:pPr>
        <w:pStyle w:val="Bodytext1"/>
        <w:numPr>
          <w:ilvl w:val="0"/>
          <w:numId w:val="41"/>
        </w:numPr>
        <w:shd w:val="clear" w:color="auto" w:fill="auto"/>
        <w:tabs>
          <w:tab w:val="left" w:pos="754"/>
        </w:tabs>
        <w:spacing w:before="380" w:line="360" w:lineRule="auto"/>
        <w:ind w:left="522" w:hanging="522"/>
        <w:jc w:val="both"/>
        <w:rPr>
          <w:i/>
          <w:sz w:val="20"/>
          <w:lang w:val="es-AR"/>
        </w:rPr>
      </w:pPr>
      <w:r w:rsidRPr="00AB7B88">
        <w:rPr>
          <w:rStyle w:val="Bodytext52"/>
          <w:rFonts w:ascii="Times New Roman" w:hAnsi="Times New Roman"/>
          <w:color w:val="000000"/>
          <w:sz w:val="20"/>
          <w:lang w:val="es-AR" w:eastAsia="es-ES_tradnl"/>
        </w:rPr>
        <w:t xml:space="preserve">La cláusula 9 de la escritura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original confiere al Sr. Agarwal, en su calidad de </w:t>
      </w:r>
      <w:r w:rsidRPr="00AB7B88">
        <w:rPr>
          <w:rStyle w:val="Bodytext13125pt"/>
          <w:rFonts w:ascii="Times New Roman" w:hAnsi="Times New Roman"/>
          <w:b w:val="0"/>
          <w:bCs w:val="0"/>
          <w:smallCaps w:val="0"/>
          <w:color w:val="000000"/>
          <w:sz w:val="20"/>
          <w:lang w:val="es-AR" w:eastAsia="es-ES_tradnl"/>
        </w:rPr>
        <w:t>Settlor</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el derecho a revocar en cualquier momento cualquiera de los </w:t>
      </w:r>
      <w:r w:rsidRPr="00AB7B88">
        <w:rPr>
          <w:rStyle w:val="Bodytext13125pt"/>
          <w:rFonts w:ascii="Times New Roman" w:hAnsi="Times New Roman"/>
          <w:b w:val="0"/>
          <w:bCs w:val="0"/>
          <w:smallCaps w:val="0"/>
          <w:color w:val="000000"/>
          <w:sz w:val="20"/>
          <w:lang w:val="es-AR" w:eastAsia="es-ES_tradnl"/>
        </w:rPr>
        <w:t>trusts</w:t>
      </w:r>
      <w:r w:rsidRPr="00AB7B88">
        <w:rPr>
          <w:rStyle w:val="Bodytext52"/>
          <w:rFonts w:ascii="Times New Roman" w:hAnsi="Times New Roman"/>
          <w:color w:val="000000"/>
          <w:sz w:val="20"/>
          <w:lang w:val="es-AR" w:eastAsia="es-ES_tradnl"/>
        </w:rPr>
        <w:t xml:space="preserve"> declarados en relación con el Fondo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de tal manera que los derechos a la renta generada y al capital del Fondo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bCs w:val="0"/>
          <w:i w:val="0"/>
          <w:smallCaps w:val="0"/>
          <w:color w:val="000000"/>
          <w:sz w:val="20"/>
          <w:lang w:val="es-AR" w:eastAsia="es-ES_tradnl"/>
        </w:rPr>
        <w:t xml:space="preserve"> le serán restituidos</w:t>
      </w:r>
      <w:r w:rsidRPr="00EF49DE">
        <w:rPr>
          <w:rStyle w:val="Bodytext13125pt"/>
          <w:rFonts w:ascii="Times New Roman" w:hAnsi="Times New Roman"/>
          <w:b w:val="0"/>
          <w:i w:val="0"/>
          <w:smallCaps w:val="0"/>
          <w:color w:val="000000"/>
          <w:sz w:val="20"/>
          <w:vertAlign w:val="superscript"/>
          <w:lang w:eastAsia="es-ES_tradnl"/>
        </w:rPr>
        <w:footnoteReference w:id="107"/>
      </w:r>
      <w:r w:rsidRPr="00AB7B88">
        <w:rPr>
          <w:rStyle w:val="Bodytext13125pt"/>
          <w:rFonts w:ascii="Times New Roman" w:hAnsi="Times New Roman"/>
          <w:i w:val="0"/>
          <w:smallCaps w:val="0"/>
          <w:color w:val="000000"/>
          <w:sz w:val="20"/>
          <w:lang w:val="es-AR" w:eastAsia="es-ES_tradnl"/>
        </w:rPr>
        <w:t>.</w:t>
      </w:r>
    </w:p>
    <w:p w14:paraId="38FA3592" w14:textId="77777777" w:rsidR="003B3957" w:rsidRPr="00AB7B88" w:rsidRDefault="003B3957" w:rsidP="000053F7">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La cláusula 7 de la escritura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estipula que los </w:t>
      </w:r>
      <w:r w:rsidRPr="00AB7B88">
        <w:rPr>
          <w:rStyle w:val="Bodytext13125pt"/>
          <w:rFonts w:ascii="Times New Roman" w:hAnsi="Times New Roman"/>
          <w:b w:val="0"/>
          <w:bCs w:val="0"/>
          <w:smallCaps w:val="0"/>
          <w:color w:val="000000"/>
          <w:sz w:val="20"/>
          <w:lang w:val="es-AR" w:eastAsia="es-ES_tradnl"/>
        </w:rPr>
        <w:t>Trustees</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con el consentimiento del Sr. Agarwal, dentro </w:t>
      </w:r>
      <w:r w:rsidRPr="00AB7B88">
        <w:rPr>
          <w:rStyle w:val="Bodytext52"/>
          <w:rFonts w:ascii="Times New Roman" w:hAnsi="Times New Roman"/>
          <w:color w:val="000000"/>
          <w:sz w:val="20"/>
          <w:lang w:val="es-AR" w:eastAsia="es-ES_tradnl"/>
        </w:rPr>
        <w:lastRenderedPageBreak/>
        <w:t xml:space="preserve">del Período del </w:t>
      </w:r>
      <w:r w:rsidR="004D2026"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pueden decidir "designar que la totalidad o cualquier parte del Fondo del </w:t>
      </w:r>
      <w:r w:rsidR="004D2026"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y la renta que este genere sean depositados en </w:t>
      </w:r>
      <w:r w:rsidR="00C32BC9" w:rsidRPr="00AB7B88">
        <w:rPr>
          <w:rStyle w:val="Bodytext13125pt"/>
          <w:rFonts w:ascii="Times New Roman" w:hAnsi="Times New Roman"/>
          <w:b w:val="0"/>
          <w:bCs w:val="0"/>
          <w:smallCaps w:val="0"/>
          <w:color w:val="000000"/>
          <w:sz w:val="20"/>
          <w:lang w:val="es-AR" w:eastAsia="es-ES_tradnl"/>
        </w:rPr>
        <w:t>Trusts</w:t>
      </w:r>
      <w:r w:rsidRPr="00AB7B88">
        <w:rPr>
          <w:rStyle w:val="Bodytext52"/>
          <w:rFonts w:ascii="Times New Roman" w:hAnsi="Times New Roman"/>
          <w:color w:val="000000"/>
          <w:sz w:val="20"/>
          <w:lang w:val="es-AR" w:eastAsia="es-ES_tradnl"/>
        </w:rPr>
        <w:t xml:space="preserve"> nuevos a favor o en beneficio de todos o uno o más de los Beneficiarios [...]</w:t>
      </w:r>
      <w:r w:rsidRPr="00AB7B88">
        <w:rPr>
          <w:rStyle w:val="Bodytext52"/>
          <w:rFonts w:ascii="Times New Roman" w:hAnsi="Times New Roman"/>
          <w:color w:val="000000"/>
          <w:sz w:val="20"/>
          <w:vertAlign w:val="superscript"/>
          <w:lang w:eastAsia="es-ES_tradnl"/>
        </w:rPr>
        <w:footnoteReference w:id="108"/>
      </w:r>
      <w:r w:rsidRPr="00AB7B88">
        <w:rPr>
          <w:rStyle w:val="Bodytext52"/>
          <w:rFonts w:ascii="Times New Roman" w:hAnsi="Times New Roman"/>
          <w:color w:val="000000"/>
          <w:sz w:val="20"/>
          <w:lang w:val="es-AR" w:eastAsia="es-ES_tradnl"/>
        </w:rPr>
        <w:t>". Dicha facultad de designación comprende la facultad de "crear intereses de cualquier tipo, absolutos o limitados, presentes o contingentes, condicionales o incondicionales</w:t>
      </w:r>
      <w:r w:rsidRPr="00AB7B88">
        <w:rPr>
          <w:rStyle w:val="Bodytext52"/>
          <w:rFonts w:ascii="Times New Roman" w:hAnsi="Times New Roman"/>
          <w:color w:val="000000"/>
          <w:sz w:val="20"/>
          <w:vertAlign w:val="superscript"/>
          <w:lang w:eastAsia="es-ES_tradnl"/>
        </w:rPr>
        <w:footnoteReference w:id="109"/>
      </w:r>
      <w:r w:rsidRPr="00AB7B88">
        <w:rPr>
          <w:rStyle w:val="Bodytext52"/>
          <w:rFonts w:ascii="Times New Roman" w:hAnsi="Times New Roman"/>
          <w:color w:val="000000"/>
          <w:sz w:val="20"/>
          <w:lang w:val="es-AR" w:eastAsia="es-ES_tradnl"/>
        </w:rPr>
        <w:t xml:space="preserve">". Los términos de estas designaciones serán "revocables durante el período del </w:t>
      </w:r>
      <w:r w:rsidR="004D2026"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bCs w:val="0"/>
          <w:smallCaps w:val="0"/>
          <w:color w:val="000000"/>
          <w:sz w:val="20"/>
          <w:lang w:val="es-AR" w:eastAsia="es-ES_tradnl"/>
        </w:rPr>
        <w:t xml:space="preserve"> o</w:t>
      </w:r>
      <w:r w:rsidRPr="00AB7B88">
        <w:rPr>
          <w:rStyle w:val="Bodytext52"/>
          <w:rFonts w:ascii="Times New Roman" w:hAnsi="Times New Roman"/>
          <w:color w:val="000000"/>
          <w:sz w:val="20"/>
          <w:lang w:val="es-AR" w:eastAsia="es-ES_tradnl"/>
        </w:rPr>
        <w:t xml:space="preserve"> irrevocables</w:t>
      </w:r>
      <w:r w:rsidRPr="00AB7B88">
        <w:rPr>
          <w:rStyle w:val="Bodytext52"/>
          <w:rFonts w:ascii="Times New Roman" w:hAnsi="Times New Roman"/>
          <w:color w:val="000000"/>
          <w:sz w:val="20"/>
          <w:vertAlign w:val="superscript"/>
          <w:lang w:eastAsia="es-ES_tradnl"/>
        </w:rPr>
        <w:footnoteReference w:id="110"/>
      </w:r>
      <w:r w:rsidRPr="00AB7B88">
        <w:rPr>
          <w:rStyle w:val="Bodytext52"/>
          <w:rFonts w:ascii="Times New Roman" w:hAnsi="Times New Roman"/>
          <w:color w:val="000000"/>
          <w:sz w:val="20"/>
          <w:lang w:val="es-AR" w:eastAsia="es-ES_tradnl"/>
        </w:rPr>
        <w:t>".</w:t>
      </w:r>
    </w:p>
    <w:p w14:paraId="71E5FAB7" w14:textId="77777777" w:rsidR="003B3957" w:rsidRPr="00AB7B88" w:rsidRDefault="003B3957" w:rsidP="000053F7">
      <w:pPr>
        <w:pStyle w:val="Bodytext1"/>
        <w:numPr>
          <w:ilvl w:val="0"/>
          <w:numId w:val="41"/>
        </w:numPr>
        <w:shd w:val="clear" w:color="auto" w:fill="auto"/>
        <w:tabs>
          <w:tab w:val="left" w:pos="754"/>
        </w:tabs>
        <w:spacing w:before="380" w:line="360" w:lineRule="auto"/>
        <w:ind w:left="522" w:hanging="522"/>
        <w:jc w:val="both"/>
        <w:rPr>
          <w:sz w:val="20"/>
        </w:rPr>
      </w:pPr>
      <w:r w:rsidRPr="00AB7B88">
        <w:rPr>
          <w:rStyle w:val="Bodytext52"/>
          <w:rFonts w:ascii="Times New Roman" w:hAnsi="Times New Roman"/>
          <w:color w:val="000000"/>
          <w:sz w:val="20"/>
          <w:lang w:val="es-AR" w:eastAsia="es-ES_tradnl"/>
        </w:rPr>
        <w:t xml:space="preserve">El 10 de abril de 2008, el Sr. Agarwal envió una carta de deseos al Sr. Jiwarajka, Protector del </w:t>
      </w:r>
      <w:r w:rsidR="004D2026"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(la "Carta de Deseos"), en la que instruía que los bienes del Proyecto Valentines fuesen destinados </w:t>
      </w:r>
      <w:r w:rsidRPr="00AB7B88">
        <w:rPr>
          <w:rStyle w:val="Bodytext13125pt"/>
          <w:rFonts w:ascii="Times New Roman" w:hAnsi="Times New Roman"/>
          <w:b w:val="0"/>
          <w:bCs w:val="0"/>
          <w:smallCaps w:val="0"/>
          <w:color w:val="000000"/>
          <w:sz w:val="20"/>
          <w:lang w:val="es-AR" w:eastAsia="es-ES_tradnl"/>
        </w:rPr>
        <w:t>para beneficio exclusivo de sus hijos. La Demandada afirma que la Carta de Deseos carece de valor</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probatorio</w:t>
      </w:r>
      <w:r w:rsidRPr="00AB7B88">
        <w:rPr>
          <w:rStyle w:val="Bodytext52"/>
          <w:rFonts w:ascii="Times New Roman" w:hAnsi="Times New Roman"/>
          <w:color w:val="000000"/>
          <w:sz w:val="20"/>
          <w:vertAlign w:val="superscript"/>
          <w:lang w:eastAsia="es-ES_tradnl"/>
        </w:rPr>
        <w:footnoteReference w:id="111"/>
      </w:r>
      <w:r w:rsidRPr="00AB7B88">
        <w:rPr>
          <w:rStyle w:val="Bodytext52"/>
          <w:rFonts w:ascii="Times New Roman" w:hAnsi="Times New Roman"/>
          <w:color w:val="000000"/>
          <w:sz w:val="20"/>
          <w:lang w:val="es-AR" w:eastAsia="es-ES_tradnl"/>
        </w:rPr>
        <w:t xml:space="preserve">. </w:t>
      </w:r>
      <w:r w:rsidRPr="00AB7B88">
        <w:rPr>
          <w:rStyle w:val="Bodytext52"/>
          <w:rFonts w:ascii="Times New Roman" w:hAnsi="Times New Roman"/>
          <w:color w:val="000000"/>
          <w:sz w:val="20"/>
          <w:lang w:eastAsia="es-ES_tradnl"/>
        </w:rPr>
        <w:t>En su parte pertinente, la Carta de Deseos reza:</w:t>
      </w:r>
    </w:p>
    <w:p w14:paraId="1ED02A61" w14:textId="77777777" w:rsidR="003B3957" w:rsidRPr="00AB7B88" w:rsidRDefault="003B3957" w:rsidP="00A728AA">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A los efectos de distribuciones futuras para el </w:t>
      </w:r>
      <w:r w:rsidR="004D2026" w:rsidRPr="00AB7B88">
        <w:rPr>
          <w:rStyle w:val="Bodytext13125pt"/>
          <w:rFonts w:ascii="Times New Roman" w:hAnsi="Times New Roman"/>
          <w:b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en el caso de un futuro evento de liquidez </w:t>
      </w:r>
      <w:r w:rsidRPr="00AB7B88">
        <w:rPr>
          <w:rStyle w:val="Bodytext13125pt"/>
          <w:rFonts w:ascii="Times New Roman" w:hAnsi="Times New Roman"/>
          <w:b w:val="0"/>
          <w:bCs w:val="0"/>
          <w:smallCaps w:val="0"/>
          <w:color w:val="000000"/>
          <w:sz w:val="20"/>
          <w:lang w:val="es-AR" w:eastAsia="es-ES_tradnl"/>
        </w:rPr>
        <w:t>["liquidity event"]</w:t>
      </w:r>
      <w:r w:rsidRPr="00AB7B88">
        <w:rPr>
          <w:rStyle w:val="Bodytext52"/>
          <w:rFonts w:ascii="Times New Roman" w:hAnsi="Times New Roman"/>
          <w:color w:val="000000"/>
          <w:sz w:val="20"/>
          <w:lang w:val="es-AR" w:eastAsia="es-ES_tradnl"/>
        </w:rPr>
        <w:t xml:space="preserve"> (venta de activos, OPI o cualquier otro medio), quisiera que usted reconozca [y]</w:t>
      </w:r>
      <w:r w:rsidRPr="00AB7B88">
        <w:rPr>
          <w:sz w:val="20"/>
          <w:lang w:val="es-AR"/>
        </w:rPr>
        <w:t xml:space="preserve"> </w:t>
      </w:r>
      <w:r w:rsidRPr="00AB7B88">
        <w:rPr>
          <w:rStyle w:val="Bodytext52"/>
          <w:rFonts w:ascii="Times New Roman" w:hAnsi="Times New Roman"/>
          <w:color w:val="000000"/>
          <w:sz w:val="20"/>
          <w:lang w:val="es-AR" w:eastAsia="es-ES_tradnl"/>
        </w:rPr>
        <w:t>confirme su avenencia para que toda distribución se efectúe en consonancia con mis deseos que expreso a continuación:</w:t>
      </w:r>
    </w:p>
    <w:p w14:paraId="32F6944B" w14:textId="77777777" w:rsidR="003B3957" w:rsidRPr="00AB7B88" w:rsidRDefault="003B3957" w:rsidP="00A728AA">
      <w:pPr>
        <w:pStyle w:val="Bodytext1"/>
        <w:numPr>
          <w:ilvl w:val="0"/>
          <w:numId w:val="42"/>
        </w:numPr>
        <w:shd w:val="clear" w:color="auto" w:fill="auto"/>
        <w:tabs>
          <w:tab w:val="left" w:pos="851"/>
        </w:tabs>
        <w:spacing w:before="380" w:line="360" w:lineRule="auto"/>
        <w:ind w:left="522" w:firstLine="0"/>
        <w:rPr>
          <w:sz w:val="20"/>
          <w:lang w:val="es-AR"/>
        </w:rPr>
      </w:pPr>
      <w:r w:rsidRPr="00AB7B88">
        <w:rPr>
          <w:rStyle w:val="Bodytext52"/>
          <w:rFonts w:ascii="Times New Roman" w:hAnsi="Times New Roman"/>
          <w:color w:val="000000"/>
          <w:sz w:val="20"/>
          <w:lang w:val="es-AR" w:eastAsia="es-ES_tradnl"/>
        </w:rPr>
        <w:t>Ante un evento de liquidez de los bienes brasileños, incluido BML, la distribución se realizará a mi persona [y] a mi esposa Bina.</w:t>
      </w:r>
    </w:p>
    <w:p w14:paraId="38A3DEE8" w14:textId="77777777" w:rsidR="003B3957" w:rsidRPr="00AB7B88" w:rsidRDefault="003B3957" w:rsidP="00A728AA">
      <w:pPr>
        <w:pStyle w:val="Bodytext1"/>
        <w:numPr>
          <w:ilvl w:val="0"/>
          <w:numId w:val="42"/>
        </w:numPr>
        <w:shd w:val="clear" w:color="auto" w:fill="auto"/>
        <w:tabs>
          <w:tab w:val="left" w:pos="851"/>
        </w:tabs>
        <w:spacing w:before="380" w:line="360" w:lineRule="auto"/>
        <w:ind w:left="522" w:firstLine="0"/>
        <w:rPr>
          <w:sz w:val="20"/>
          <w:lang w:val="es-AR"/>
        </w:rPr>
      </w:pPr>
      <w:r w:rsidRPr="00AB7B88">
        <w:rPr>
          <w:rStyle w:val="Bodytext52"/>
          <w:rFonts w:ascii="Times New Roman" w:hAnsi="Times New Roman"/>
          <w:color w:val="000000"/>
          <w:sz w:val="20"/>
          <w:lang w:val="es-AR" w:eastAsia="es-ES_tradnl"/>
        </w:rPr>
        <w:t>Ante un evento de liquidez de los bienes restantes, incluido Valentines, la distribución ha de efectuarse en partes iguales entre mis cuatro hijos: Anjani, Vinita, Ritika [y] Prenay</w:t>
      </w:r>
      <w:r w:rsidRPr="00AB7B88">
        <w:rPr>
          <w:rStyle w:val="Bodytext52"/>
          <w:rFonts w:ascii="Times New Roman" w:hAnsi="Times New Roman"/>
          <w:color w:val="000000"/>
          <w:sz w:val="20"/>
          <w:vertAlign w:val="superscript"/>
          <w:lang w:eastAsia="es-ES_tradnl"/>
        </w:rPr>
        <w:footnoteReference w:id="112"/>
      </w:r>
      <w:r w:rsidRPr="00AB7B88">
        <w:rPr>
          <w:rStyle w:val="Bodytext52"/>
          <w:rFonts w:ascii="Times New Roman" w:hAnsi="Times New Roman"/>
          <w:color w:val="000000"/>
          <w:sz w:val="20"/>
          <w:lang w:val="es-AR" w:eastAsia="es-ES_tradnl"/>
        </w:rPr>
        <w:t>.</w:t>
      </w:r>
    </w:p>
    <w:p w14:paraId="01AB4613" w14:textId="77777777" w:rsidR="003B3957" w:rsidRPr="00AB7B88" w:rsidRDefault="003B3957" w:rsidP="000053F7">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23 de septiembre de 2010, el Sr. Agarwal estableció una sociedad de </w:t>
      </w:r>
      <w:r w:rsidR="004D2026"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privada, Miari PTC Ltd.</w:t>
      </w:r>
      <w:r w:rsidRPr="00AB7B88">
        <w:rPr>
          <w:rStyle w:val="Bodytext52"/>
          <w:rFonts w:ascii="Times New Roman" w:eastAsia="Calibri" w:hAnsi="Times New Roman"/>
          <w:color w:val="000000"/>
          <w:sz w:val="20"/>
          <w:lang w:val="es-AR" w:eastAsia="es-ES_tradnl"/>
        </w:rPr>
        <w:t xml:space="preserve"> </w:t>
      </w:r>
      <w:r w:rsidRPr="00AB7B88">
        <w:rPr>
          <w:rStyle w:val="Bodytext52"/>
          <w:rFonts w:ascii="Times New Roman" w:hAnsi="Times New Roman"/>
          <w:color w:val="000000"/>
          <w:sz w:val="20"/>
          <w:lang w:val="es-AR" w:eastAsia="es-ES_tradnl"/>
        </w:rPr>
        <w:t>("Miari")</w:t>
      </w:r>
      <w:r w:rsidRPr="00AB7B88">
        <w:rPr>
          <w:rStyle w:val="Bodytext52"/>
          <w:rFonts w:ascii="Times New Roman" w:hAnsi="Times New Roman"/>
          <w:color w:val="000000"/>
          <w:sz w:val="20"/>
          <w:vertAlign w:val="superscript"/>
          <w:lang w:eastAsia="es-ES_tradnl"/>
        </w:rPr>
        <w:footnoteReference w:id="113"/>
      </w:r>
      <w:r w:rsidRPr="00AB7B88">
        <w:rPr>
          <w:rStyle w:val="Bodytext52"/>
          <w:rFonts w:ascii="Times New Roman" w:hAnsi="Times New Roman"/>
          <w:color w:val="000000"/>
          <w:sz w:val="20"/>
          <w:lang w:val="es-AR" w:eastAsia="es-ES_tradnl"/>
        </w:rPr>
        <w:t xml:space="preserve">. Miari se constituyó conforme a las leyes de las Islas Caimán, y era propiedad de un </w:t>
      </w:r>
      <w:r w:rsidR="004D2026"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recientemente creado, el </w:t>
      </w:r>
      <w:r w:rsidR="004D2026"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Sunder Devi, para el cual el Sr. y la Sra. Agarwal fungían como Protectores</w:t>
      </w:r>
      <w:r w:rsidRPr="00AB7B88">
        <w:rPr>
          <w:rStyle w:val="Bodytext52"/>
          <w:rFonts w:ascii="Times New Roman" w:hAnsi="Times New Roman"/>
          <w:color w:val="000000"/>
          <w:sz w:val="20"/>
          <w:vertAlign w:val="superscript"/>
          <w:lang w:eastAsia="es-ES_tradnl"/>
        </w:rPr>
        <w:footnoteReference w:id="114"/>
      </w:r>
      <w:r w:rsidRPr="00AB7B88">
        <w:rPr>
          <w:rStyle w:val="Bodytext52"/>
          <w:rFonts w:ascii="Times New Roman" w:hAnsi="Times New Roman"/>
          <w:color w:val="000000"/>
          <w:sz w:val="20"/>
          <w:lang w:val="es-AR" w:eastAsia="es-ES_tradnl"/>
        </w:rPr>
        <w:t xml:space="preserve">. En calidad de sociedad de trustprivada, Miari está "autorizada a actuar como </w:t>
      </w:r>
      <w:r w:rsidR="004D2026"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bCs w:val="0"/>
          <w:smallCaps w:val="0"/>
          <w:color w:val="000000"/>
          <w:sz w:val="20"/>
          <w:lang w:val="es-AR" w:eastAsia="es-ES_tradnl"/>
        </w:rPr>
        <w:t xml:space="preserve">ee </w:t>
      </w:r>
      <w:r w:rsidRPr="00AB7B88">
        <w:rPr>
          <w:rStyle w:val="Bodytext52"/>
          <w:rFonts w:ascii="Times New Roman" w:hAnsi="Times New Roman"/>
          <w:color w:val="000000"/>
          <w:sz w:val="20"/>
          <w:lang w:val="es-AR" w:eastAsia="es-ES_tradnl"/>
        </w:rPr>
        <w:t>de</w:t>
      </w:r>
      <w:r w:rsidRPr="00AB7B88">
        <w:rPr>
          <w:rStyle w:val="Bodytext52"/>
          <w:rFonts w:ascii="Times New Roman" w:hAnsi="Times New Roman"/>
          <w:b/>
          <w:bCs/>
          <w:color w:val="000000"/>
          <w:sz w:val="20"/>
          <w:lang w:val="es-AR" w:eastAsia="es-ES_tradnl"/>
        </w:rPr>
        <w:t xml:space="preserve"> </w:t>
      </w:r>
      <w:r w:rsidR="004D2026" w:rsidRPr="00AB7B88">
        <w:rPr>
          <w:rStyle w:val="Bodytext13125pt"/>
          <w:rFonts w:ascii="Times New Roman" w:hAnsi="Times New Roman"/>
          <w:b w:val="0"/>
          <w:bCs w:val="0"/>
          <w:smallCaps w:val="0"/>
          <w:color w:val="000000"/>
          <w:sz w:val="20"/>
          <w:lang w:val="es-AR" w:eastAsia="es-ES_tradnl"/>
        </w:rPr>
        <w:t>Trusts</w:t>
      </w:r>
      <w:r w:rsidRPr="00AB7B88">
        <w:rPr>
          <w:rStyle w:val="Bodytext52"/>
          <w:rFonts w:ascii="Times New Roman" w:hAnsi="Times New Roman"/>
          <w:color w:val="000000"/>
          <w:sz w:val="20"/>
          <w:lang w:val="es-AR" w:eastAsia="es-ES_tradnl"/>
        </w:rPr>
        <w:t xml:space="preserve"> establecidos </w:t>
      </w:r>
      <w:r w:rsidRPr="00AB7B88">
        <w:rPr>
          <w:rStyle w:val="Bodytext52"/>
          <w:rFonts w:ascii="Times New Roman" w:hAnsi="Times New Roman"/>
          <w:color w:val="000000"/>
          <w:sz w:val="20"/>
          <w:lang w:val="es-AR" w:eastAsia="es-ES_tradnl"/>
        </w:rPr>
        <w:lastRenderedPageBreak/>
        <w:t xml:space="preserve">por el </w:t>
      </w:r>
      <w:r w:rsidRPr="00AB7B88">
        <w:rPr>
          <w:rStyle w:val="Bodytext13125pt"/>
          <w:rFonts w:ascii="Times New Roman" w:hAnsi="Times New Roman"/>
          <w:b w:val="0"/>
          <w:bCs w:val="0"/>
          <w:smallCaps w:val="0"/>
          <w:color w:val="000000"/>
          <w:sz w:val="20"/>
          <w:lang w:val="es-AR" w:eastAsia="es-ES_tradnl"/>
        </w:rPr>
        <w:t>Settlor</w:t>
      </w:r>
      <w:r w:rsidRPr="00AB7B88">
        <w:rPr>
          <w:rStyle w:val="Bodytext52"/>
          <w:rFonts w:ascii="Times New Roman" w:hAnsi="Times New Roman"/>
          <w:color w:val="000000"/>
          <w:sz w:val="20"/>
          <w:lang w:val="es-AR" w:eastAsia="es-ES_tradnl"/>
        </w:rPr>
        <w:t xml:space="preserve"> [el Sr. Agarwal] y cuyas acciones están comprendidas en el Fondo del </w:t>
      </w:r>
      <w:r w:rsidR="004D2026"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b/>
          <w:bCs/>
          <w:color w:val="000000"/>
          <w:sz w:val="20"/>
          <w:lang w:val="es-AR" w:eastAsia="es-ES_tradnl"/>
        </w:rPr>
        <w:t xml:space="preserve"> </w:t>
      </w:r>
      <w:r w:rsidRPr="00AB7B88">
        <w:rPr>
          <w:rStyle w:val="Bodytext52"/>
          <w:rFonts w:ascii="Times New Roman" w:hAnsi="Times New Roman"/>
          <w:color w:val="000000"/>
          <w:sz w:val="20"/>
          <w:lang w:val="es-AR" w:eastAsia="es-ES_tradnl"/>
        </w:rPr>
        <w:t>[Sunder Devi]</w:t>
      </w:r>
      <w:r w:rsidRPr="00AB7B88">
        <w:rPr>
          <w:rStyle w:val="Bodytext52"/>
          <w:rFonts w:ascii="Times New Roman" w:hAnsi="Times New Roman"/>
          <w:color w:val="000000"/>
          <w:sz w:val="20"/>
          <w:vertAlign w:val="superscript"/>
          <w:lang w:eastAsia="es-ES_tradnl"/>
        </w:rPr>
        <w:footnoteReference w:id="115"/>
      </w:r>
      <w:r w:rsidRPr="00AB7B88">
        <w:rPr>
          <w:rStyle w:val="Bodytext52"/>
          <w:rFonts w:ascii="Times New Roman" w:hAnsi="Times New Roman"/>
          <w:color w:val="000000"/>
          <w:sz w:val="20"/>
          <w:lang w:val="es-AR" w:eastAsia="es-ES_tradnl"/>
        </w:rPr>
        <w:t xml:space="preserve">". El Sr. Phillips, antiguo </w:t>
      </w:r>
      <w:r w:rsidR="004D2026"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bCs w:val="0"/>
          <w:smallCaps w:val="0"/>
          <w:color w:val="000000"/>
          <w:sz w:val="20"/>
          <w:lang w:val="es-AR" w:eastAsia="es-ES_tradnl"/>
        </w:rPr>
        <w:t>ee</w:t>
      </w:r>
      <w:r w:rsidRPr="00AB7B88">
        <w:rPr>
          <w:rStyle w:val="Bodytext52"/>
          <w:rFonts w:ascii="Times New Roman" w:hAnsi="Times New Roman"/>
          <w:b/>
          <w:bCs/>
          <w:color w:val="000000"/>
          <w:sz w:val="20"/>
          <w:lang w:val="es-AR" w:eastAsia="es-ES_tradnl"/>
        </w:rPr>
        <w:t xml:space="preserve"> </w:t>
      </w:r>
      <w:r w:rsidRPr="00AB7B88">
        <w:rPr>
          <w:rStyle w:val="Bodytext52"/>
          <w:rFonts w:ascii="Times New Roman" w:hAnsi="Times New Roman"/>
          <w:color w:val="000000"/>
          <w:sz w:val="20"/>
          <w:lang w:val="es-AR" w:eastAsia="es-ES_tradnl"/>
        </w:rPr>
        <w:t>del</w:t>
      </w:r>
      <w:r w:rsidRPr="00AB7B88">
        <w:rPr>
          <w:rStyle w:val="Bodytext52"/>
          <w:rFonts w:ascii="Times New Roman" w:hAnsi="Times New Roman"/>
          <w:b/>
          <w:bCs/>
          <w:color w:val="000000"/>
          <w:sz w:val="20"/>
          <w:lang w:val="es-AR" w:eastAsia="es-ES_tradnl"/>
        </w:rPr>
        <w:t xml:space="preserve"> </w:t>
      </w:r>
      <w:r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el Sr. Jiwarajka, Protector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y Cordico Management fungieron como los Directores iniciales de Miari</w:t>
      </w:r>
      <w:r w:rsidRPr="00AB7B88">
        <w:rPr>
          <w:rStyle w:val="Bodytext52"/>
          <w:rFonts w:ascii="Times New Roman" w:hAnsi="Times New Roman"/>
          <w:color w:val="000000"/>
          <w:sz w:val="20"/>
          <w:vertAlign w:val="superscript"/>
          <w:lang w:eastAsia="es-ES_tradnl"/>
        </w:rPr>
        <w:footnoteReference w:id="116"/>
      </w:r>
      <w:r w:rsidRPr="00AB7B88">
        <w:rPr>
          <w:rStyle w:val="Bodytext52"/>
          <w:rFonts w:ascii="Times New Roman" w:hAnsi="Times New Roman"/>
          <w:color w:val="000000"/>
          <w:sz w:val="20"/>
          <w:lang w:val="es-AR" w:eastAsia="es-ES_tradnl"/>
        </w:rPr>
        <w:t xml:space="preserve">. En calidad de Protectores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Sunder Devi, el Sr. y la Sra. Agarwal preservaron su discrecionalidad para cambiar a los </w:t>
      </w:r>
      <w:r w:rsidR="004D2026" w:rsidRPr="00AB7B88">
        <w:rPr>
          <w:rStyle w:val="Bodytext13125pt"/>
          <w:rFonts w:ascii="Times New Roman" w:hAnsi="Times New Roman"/>
          <w:b w:val="0"/>
          <w:bCs w:val="0"/>
          <w:smallCaps w:val="0"/>
          <w:color w:val="000000"/>
          <w:sz w:val="20"/>
          <w:lang w:val="es-AR" w:eastAsia="es-ES_tradnl"/>
        </w:rPr>
        <w:t>Truste</w:t>
      </w:r>
      <w:r w:rsidR="00B058CD" w:rsidRPr="00AB7B88">
        <w:rPr>
          <w:rStyle w:val="Bodytext13125pt"/>
          <w:rFonts w:ascii="Times New Roman" w:hAnsi="Times New Roman"/>
          <w:b w:val="0"/>
          <w:bCs w:val="0"/>
          <w:smallCaps w:val="0"/>
          <w:color w:val="000000"/>
          <w:sz w:val="20"/>
          <w:lang w:val="es-AR" w:eastAsia="es-ES_tradnl"/>
        </w:rPr>
        <w:t>es</w:t>
      </w:r>
      <w:r w:rsidRPr="00AB7B88">
        <w:rPr>
          <w:rStyle w:val="Bodytext52"/>
          <w:rFonts w:ascii="Times New Roman" w:hAnsi="Times New Roman"/>
          <w:color w:val="000000"/>
          <w:sz w:val="20"/>
          <w:lang w:val="es-AR" w:eastAsia="es-ES_tradnl"/>
        </w:rPr>
        <w:t xml:space="preserve"> e impartirles instrucciones respecto de la designación de los directores de Miari</w:t>
      </w:r>
      <w:r w:rsidRPr="00AB7B88">
        <w:rPr>
          <w:rStyle w:val="Bodytext52"/>
          <w:rFonts w:ascii="Times New Roman" w:hAnsi="Times New Roman"/>
          <w:color w:val="000000"/>
          <w:sz w:val="20"/>
          <w:vertAlign w:val="superscript"/>
          <w:lang w:eastAsia="es-ES_tradnl"/>
        </w:rPr>
        <w:footnoteReference w:id="117"/>
      </w:r>
      <w:r w:rsidRPr="00AB7B88">
        <w:rPr>
          <w:rStyle w:val="Bodytext52"/>
          <w:rFonts w:ascii="Times New Roman" w:hAnsi="Times New Roman"/>
          <w:color w:val="000000"/>
          <w:sz w:val="20"/>
          <w:lang w:val="es-AR" w:eastAsia="es-ES_tradnl"/>
        </w:rPr>
        <w:t>.</w:t>
      </w:r>
    </w:p>
    <w:p w14:paraId="22ABE793" w14:textId="77777777" w:rsidR="003B3957" w:rsidRPr="00AB7B88" w:rsidRDefault="003B3957" w:rsidP="000053F7">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Sr. Agarwal estableció la sociedad de </w:t>
      </w:r>
      <w:r w:rsidRPr="00AB7B88">
        <w:rPr>
          <w:rStyle w:val="Bodytext52"/>
          <w:rFonts w:ascii="Times New Roman" w:hAnsi="Times New Roman"/>
          <w:i/>
          <w:color w:val="000000"/>
          <w:sz w:val="20"/>
          <w:lang w:val="es-AR" w:eastAsia="es-ES_tradnl"/>
        </w:rPr>
        <w:t>trust</w:t>
      </w:r>
      <w:r w:rsidR="00650499" w:rsidRPr="00AB7B88">
        <w:rPr>
          <w:rStyle w:val="Bodytext52"/>
          <w:rFonts w:ascii="Times New Roman" w:hAnsi="Times New Roman"/>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privada Miari por recomendación de sus abogados, Macfarlanes LLP, con el fin de reemplazar a Cayman National Trust Co. Ltd. (una sociedad de </w:t>
      </w:r>
      <w:r w:rsidR="004D2026"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corporativa) y a su presidente, Ian Phillips, como </w:t>
      </w:r>
      <w:r w:rsidR="004D2026"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bCs w:val="0"/>
          <w:smallCaps w:val="0"/>
          <w:color w:val="000000"/>
          <w:sz w:val="20"/>
          <w:lang w:val="es-AR" w:eastAsia="es-ES_tradnl"/>
        </w:rPr>
        <w:t>ee</w:t>
      </w:r>
      <w:r w:rsidRPr="00AB7B88">
        <w:rPr>
          <w:rStyle w:val="Bodytext52"/>
          <w:rFonts w:ascii="Times New Roman" w:hAnsi="Times New Roman"/>
          <w:color w:val="000000"/>
          <w:sz w:val="20"/>
          <w:lang w:val="es-AR" w:eastAsia="es-ES_tradnl"/>
        </w:rPr>
        <w:t xml:space="preserve"> del </w:t>
      </w:r>
      <w:r w:rsidR="004D2026"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Macfarlanes recomendó que, a la luz de la venta inminente de la participación del 50 por ciento restante en el proyecto BML en 2010, sería menos ventajoso desde el punto de vista financiero seguir usando una sociedad de </w:t>
      </w:r>
      <w:r w:rsidR="004D2026"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corporativa como </w:t>
      </w:r>
      <w:r w:rsidR="00B058CD" w:rsidRPr="00AB7B88">
        <w:rPr>
          <w:rStyle w:val="Bodytext13125pt"/>
          <w:rFonts w:ascii="Times New Roman" w:hAnsi="Times New Roman"/>
          <w:b w:val="0"/>
          <w:bCs w:val="0"/>
          <w:smallCaps w:val="0"/>
          <w:color w:val="000000"/>
          <w:sz w:val="20"/>
          <w:lang w:val="es-AR" w:eastAsia="es-ES_tradnl"/>
        </w:rPr>
        <w:t>Trustee</w:t>
      </w:r>
      <w:r w:rsidRPr="00AB7B88">
        <w:rPr>
          <w:rStyle w:val="Bodytext13125pt"/>
          <w:rFonts w:ascii="Times New Roman" w:hAnsi="Times New Roman"/>
          <w:b w:val="0"/>
          <w:smallCaps w:val="0"/>
          <w:color w:val="000000"/>
          <w:sz w:val="20"/>
          <w:vertAlign w:val="superscript"/>
          <w:lang w:eastAsia="es-ES_tradnl"/>
        </w:rPr>
        <w:footnoteReference w:id="118"/>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En consecuencia, el 8 de octubre de 2010, Miari relevó a Cayman National Trust Co. Ltd. y a su presidente el Sr. Phillips como </w:t>
      </w:r>
      <w:r w:rsidR="00B058CD" w:rsidRPr="00AB7B88">
        <w:rPr>
          <w:rStyle w:val="Bodytext13125pt"/>
          <w:rFonts w:ascii="Times New Roman" w:hAnsi="Times New Roman"/>
          <w:b w:val="0"/>
          <w:bCs w:val="0"/>
          <w:smallCaps w:val="0"/>
          <w:color w:val="000000"/>
          <w:sz w:val="20"/>
          <w:lang w:val="es-AR" w:eastAsia="es-ES_tradnl"/>
        </w:rPr>
        <w:t>Trustee</w:t>
      </w:r>
      <w:r w:rsidRPr="00AB7B88">
        <w:rPr>
          <w:rStyle w:val="Bodytext52"/>
          <w:rFonts w:ascii="Times New Roman" w:hAnsi="Times New Roman"/>
          <w:b/>
          <w:bCs/>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del </w:t>
      </w:r>
      <w:r w:rsidRPr="00AB7B88">
        <w:rPr>
          <w:rStyle w:val="Bodytext13125pt"/>
          <w:rFonts w:ascii="Times New Roman" w:hAnsi="Times New Roman"/>
          <w:b w:val="0"/>
          <w:bCs w:val="0"/>
          <w:smallCaps w:val="0"/>
          <w:color w:val="000000"/>
          <w:sz w:val="20"/>
          <w:lang w:val="es-AR" w:eastAsia="es-ES_tradnl"/>
        </w:rPr>
        <w:t>Trus</w:t>
      </w:r>
      <w:r w:rsidRPr="00AB7B88">
        <w:rPr>
          <w:rStyle w:val="Bodytext13125pt"/>
          <w:rFonts w:ascii="Times New Roman" w:hAnsi="Times New Roman"/>
          <w:b w:val="0"/>
          <w:bCs w:val="0"/>
          <w:i w:val="0"/>
          <w:smallCaps w:val="0"/>
          <w:color w:val="000000"/>
          <w:sz w:val="20"/>
          <w:lang w:val="es-AR" w:eastAsia="es-ES_tradnl"/>
        </w:rPr>
        <w:t>t</w:t>
      </w:r>
      <w:r w:rsidRPr="00AB7B88">
        <w:rPr>
          <w:rStyle w:val="Bodytext13125pt"/>
          <w:rFonts w:ascii="Times New Roman" w:hAnsi="Times New Roman"/>
          <w:b w:val="0"/>
          <w:i w:val="0"/>
          <w:smallCaps w:val="0"/>
          <w:color w:val="000000"/>
          <w:sz w:val="20"/>
          <w:vertAlign w:val="superscript"/>
          <w:lang w:eastAsia="es-ES_tradnl"/>
        </w:rPr>
        <w:footnoteReference w:id="119"/>
      </w:r>
      <w:r w:rsidRPr="00AB7B88">
        <w:rPr>
          <w:rStyle w:val="Bodytext13125pt"/>
          <w:rFonts w:ascii="Times New Roman" w:hAnsi="Times New Roman"/>
          <w:i w:val="0"/>
          <w:smallCaps w:val="0"/>
          <w:color w:val="000000"/>
          <w:sz w:val="20"/>
          <w:lang w:val="es-AR" w:eastAsia="es-ES_tradnl"/>
        </w:rPr>
        <w:t>.</w:t>
      </w:r>
    </w:p>
    <w:p w14:paraId="37DFAD60" w14:textId="77777777" w:rsidR="003B3957" w:rsidRPr="00AB7B88" w:rsidRDefault="003B3957" w:rsidP="00525DC1">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4 de julio de 2011, el Sr. Jiwarajka renunció al cargo de Protector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debido a implicaciones tributarias adversas para los nacionales indios que fungen como protectores de </w:t>
      </w:r>
      <w:r w:rsidR="004D2026" w:rsidRPr="00AB7B88">
        <w:rPr>
          <w:rStyle w:val="Bodytext13125pt"/>
          <w:rFonts w:ascii="Times New Roman" w:hAnsi="Times New Roman"/>
          <w:b w:val="0"/>
          <w:smallCaps w:val="0"/>
          <w:color w:val="000000"/>
          <w:sz w:val="20"/>
          <w:lang w:val="es-AR" w:eastAsia="es-ES_tradnl"/>
        </w:rPr>
        <w:t>Trusts</w:t>
      </w:r>
      <w:r w:rsidRPr="00AB7B88">
        <w:rPr>
          <w:rStyle w:val="Bodytext52"/>
          <w:rFonts w:ascii="Times New Roman" w:hAnsi="Times New Roman"/>
          <w:color w:val="000000"/>
          <w:sz w:val="20"/>
          <w:lang w:val="es-AR" w:eastAsia="es-ES_tradnl"/>
        </w:rPr>
        <w:t xml:space="preserve"> en las Islas Caimán. Fue reemplazado por un Comité Protector integrado por el Sr. y la Sra. Agarwal</w:t>
      </w:r>
      <w:r w:rsidRPr="00AB7B88">
        <w:rPr>
          <w:rStyle w:val="Bodytext52"/>
          <w:rFonts w:ascii="Times New Roman" w:hAnsi="Times New Roman"/>
          <w:color w:val="000000"/>
          <w:sz w:val="20"/>
          <w:vertAlign w:val="superscript"/>
          <w:lang w:eastAsia="es-ES_tradnl"/>
        </w:rPr>
        <w:footnoteReference w:id="120"/>
      </w:r>
      <w:r w:rsidRPr="00AB7B88">
        <w:rPr>
          <w:rStyle w:val="Bodytext52"/>
          <w:rFonts w:ascii="Times New Roman" w:hAnsi="Times New Roman"/>
          <w:color w:val="000000"/>
          <w:sz w:val="20"/>
          <w:lang w:val="es-AR" w:eastAsia="es-ES_tradnl"/>
        </w:rPr>
        <w:t>. El Sr. Jiwarajka continuó desempeñándose como Director de Miari hasta el 2 de septiembre de 2023, fecha</w:t>
      </w:r>
      <w:r w:rsidR="00525DC1" w:rsidRPr="00AB7B88">
        <w:rPr>
          <w:sz w:val="20"/>
          <w:lang w:val="es-AR"/>
        </w:rPr>
        <w:t xml:space="preserve"> </w:t>
      </w:r>
      <w:r w:rsidRPr="00AB7B88">
        <w:rPr>
          <w:rStyle w:val="Bodytext52"/>
          <w:rFonts w:ascii="Times New Roman" w:hAnsi="Times New Roman"/>
          <w:color w:val="000000"/>
          <w:sz w:val="20"/>
          <w:lang w:val="es-AR" w:eastAsia="es-ES_tradnl"/>
        </w:rPr>
        <w:t>en que fue reemplazado por el Sr. Siddharth Mehta</w:t>
      </w:r>
      <w:r w:rsidRPr="00AB7B88">
        <w:rPr>
          <w:rStyle w:val="Bodytext52"/>
          <w:rFonts w:ascii="Times New Roman" w:hAnsi="Times New Roman"/>
          <w:color w:val="000000"/>
          <w:sz w:val="20"/>
          <w:vertAlign w:val="superscript"/>
          <w:lang w:eastAsia="es-ES_tradnl"/>
        </w:rPr>
        <w:footnoteReference w:id="121"/>
      </w:r>
      <w:r w:rsidRPr="00AB7B88">
        <w:rPr>
          <w:rStyle w:val="Bodytext52"/>
          <w:rFonts w:ascii="Times New Roman" w:hAnsi="Times New Roman"/>
          <w:color w:val="000000"/>
          <w:sz w:val="20"/>
          <w:lang w:val="es-AR" w:eastAsia="es-ES_tradnl"/>
        </w:rPr>
        <w:t>.</w:t>
      </w:r>
    </w:p>
    <w:p w14:paraId="1B0B047C" w14:textId="77777777" w:rsidR="003B3957" w:rsidRPr="00AB7B88" w:rsidRDefault="003B3957" w:rsidP="000053F7">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Los Demandantes observan que, en diciembre de 2012, el Sr. Agarwal se reunió con su asesor letrado, Macfarlanes, para analizar la posible aplicabilidad del Acuerdo de Cooperación Tributaria entre el Reino Unido y Suiza (que debía entrar en vigor el 1 de enero de 2023) a los bienes del </w:t>
      </w:r>
      <w:r w:rsidRPr="00AB7B88">
        <w:rPr>
          <w:rStyle w:val="Bodytext13125pt"/>
          <w:rFonts w:ascii="Times New Roman" w:hAnsi="Times New Roman"/>
          <w:b w:val="0"/>
          <w:smallCaps w:val="0"/>
          <w:color w:val="000000"/>
          <w:sz w:val="20"/>
          <w:lang w:val="es-AR" w:eastAsia="es-ES_tradnl"/>
        </w:rPr>
        <w:t xml:space="preserve">Trust. </w:t>
      </w:r>
      <w:r w:rsidRPr="00AB7B88">
        <w:rPr>
          <w:rStyle w:val="Bodytext52"/>
          <w:rFonts w:ascii="Times New Roman" w:hAnsi="Times New Roman"/>
          <w:color w:val="000000"/>
          <w:sz w:val="20"/>
          <w:lang w:val="es-AR" w:eastAsia="es-ES_tradnl"/>
        </w:rPr>
        <w:t xml:space="preserve">Los Demandantes sostienen que Macfarlanes indicó al Sr. Agarwal que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posiblemente quedaría comprendido dentro del </w:t>
      </w:r>
      <w:r w:rsidRPr="00AB7B88">
        <w:rPr>
          <w:rStyle w:val="Bodytext52"/>
          <w:rFonts w:ascii="Times New Roman" w:hAnsi="Times New Roman"/>
          <w:color w:val="000000"/>
          <w:sz w:val="20"/>
          <w:lang w:val="es-AR" w:eastAsia="es-ES_tradnl"/>
        </w:rPr>
        <w:lastRenderedPageBreak/>
        <w:t xml:space="preserve">alcance del Acuerdo de Cooperación, dada su naturaleza de </w:t>
      </w:r>
      <w:r w:rsidRPr="00AB7B88">
        <w:rPr>
          <w:rStyle w:val="Bodytext13125pt"/>
          <w:rFonts w:ascii="Times New Roman" w:hAnsi="Times New Roman"/>
          <w:b w:val="0"/>
          <w:smallCaps w:val="0"/>
          <w:color w:val="000000"/>
          <w:sz w:val="20"/>
          <w:lang w:val="es-AR" w:eastAsia="es-ES_tradnl"/>
        </w:rPr>
        <w:t xml:space="preserve">trust </w:t>
      </w:r>
      <w:r w:rsidRPr="00AB7B88">
        <w:rPr>
          <w:rStyle w:val="Bodytext52"/>
          <w:rFonts w:ascii="Times New Roman" w:hAnsi="Times New Roman"/>
          <w:color w:val="000000"/>
          <w:sz w:val="20"/>
          <w:lang w:val="es-AR" w:eastAsia="es-ES_tradnl"/>
        </w:rPr>
        <w:t xml:space="preserve">revocable. En consecuencia, el 20 de diciembre de 2012, el Sr. Agarwal convirtió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en un </w:t>
      </w:r>
      <w:r w:rsidRPr="00AB7B88">
        <w:rPr>
          <w:rStyle w:val="Bodytext13125pt"/>
          <w:rFonts w:ascii="Times New Roman" w:hAnsi="Times New Roman"/>
          <w:b w:val="0"/>
          <w:smallCaps w:val="0"/>
          <w:color w:val="000000"/>
          <w:sz w:val="20"/>
          <w:lang w:val="es-AR" w:eastAsia="es-ES_tradnl"/>
        </w:rPr>
        <w:t xml:space="preserve">trust </w:t>
      </w:r>
      <w:r w:rsidRPr="00AB7B88">
        <w:rPr>
          <w:rStyle w:val="Bodytext52"/>
          <w:rFonts w:ascii="Times New Roman" w:hAnsi="Times New Roman"/>
          <w:color w:val="000000"/>
          <w:sz w:val="20"/>
          <w:lang w:val="es-AR" w:eastAsia="es-ES_tradnl"/>
        </w:rPr>
        <w:t>irrevocable, mediante la firma de la Escritura de Extinción del poder de revocación</w:t>
      </w:r>
      <w:r w:rsidRPr="00AB7B88">
        <w:rPr>
          <w:rStyle w:val="Bodytext52"/>
          <w:rFonts w:ascii="Times New Roman" w:hAnsi="Times New Roman"/>
          <w:color w:val="000000"/>
          <w:sz w:val="20"/>
          <w:vertAlign w:val="superscript"/>
          <w:lang w:eastAsia="es-ES_tradnl"/>
        </w:rPr>
        <w:footnoteReference w:id="122"/>
      </w:r>
      <w:r w:rsidRPr="00AB7B88">
        <w:rPr>
          <w:rStyle w:val="Bodytext52"/>
          <w:rFonts w:ascii="Times New Roman" w:hAnsi="Times New Roman"/>
          <w:color w:val="000000"/>
          <w:sz w:val="20"/>
          <w:lang w:val="es-AR" w:eastAsia="es-ES_tradnl"/>
        </w:rPr>
        <w:t xml:space="preserve">. El Sr. Agarwal afirma que incluso antes de que convirtiera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en un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irrevocable "nunca tuv[o] la intención de revocar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porque hacerlo implicaría destruir el cuidadoso esquema de planificación tributaria diseñado por Macfarlanes</w:t>
      </w:r>
      <w:r w:rsidRPr="00AB7B88">
        <w:rPr>
          <w:rStyle w:val="Bodytext52"/>
          <w:rFonts w:ascii="Times New Roman" w:hAnsi="Times New Roman"/>
          <w:color w:val="000000"/>
          <w:sz w:val="20"/>
          <w:vertAlign w:val="superscript"/>
          <w:lang w:eastAsia="es-ES_tradnl"/>
        </w:rPr>
        <w:footnoteReference w:id="123"/>
      </w:r>
      <w:r w:rsidRPr="00AB7B88">
        <w:rPr>
          <w:rStyle w:val="Bodytext52"/>
          <w:rFonts w:ascii="Times New Roman" w:hAnsi="Times New Roman"/>
          <w:color w:val="000000"/>
          <w:sz w:val="20"/>
          <w:lang w:val="es-AR" w:eastAsia="es-ES_tradnl"/>
        </w:rPr>
        <w:t>".</w:t>
      </w:r>
    </w:p>
    <w:p w14:paraId="10B7BCE7" w14:textId="77777777" w:rsidR="003B3957" w:rsidRPr="00AB7B88" w:rsidRDefault="003B3957" w:rsidP="00A728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diciembre de 2015, Anjani Vasson notificó al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su deseo de ser designada Persona excluida, por lo que renunciaba a sus derechos o </w:t>
      </w:r>
      <w:r w:rsidRPr="00AB7B88">
        <w:rPr>
          <w:rStyle w:val="Bodytext13125pt"/>
          <w:rFonts w:ascii="Times New Roman" w:hAnsi="Times New Roman"/>
          <w:b w:val="0"/>
          <w:smallCaps w:val="0"/>
          <w:color w:val="000000"/>
          <w:sz w:val="20"/>
          <w:lang w:val="es-AR" w:eastAsia="es-ES_tradnl"/>
        </w:rPr>
        <w:t>beneficial interests</w:t>
      </w:r>
      <w:r w:rsidRPr="00AB7B88">
        <w:rPr>
          <w:rStyle w:val="Bodytext52"/>
          <w:rFonts w:ascii="Times New Roman" w:hAnsi="Times New Roman"/>
          <w:color w:val="000000"/>
          <w:sz w:val="20"/>
          <w:lang w:val="es-AR" w:eastAsia="es-ES_tradnl"/>
        </w:rPr>
        <w:t xml:space="preserve"> respecto de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13125pt"/>
          <w:rFonts w:ascii="Times New Roman" w:hAnsi="Times New Roman"/>
          <w:b w:val="0"/>
          <w:i w:val="0"/>
          <w:smallCaps w:val="0"/>
          <w:color w:val="000000"/>
          <w:sz w:val="20"/>
          <w:vertAlign w:val="superscript"/>
          <w:lang w:eastAsia="es-ES_tradnl"/>
        </w:rPr>
        <w:footnoteReference w:id="124"/>
      </w:r>
      <w:r w:rsidRPr="00AB7B88">
        <w:rPr>
          <w:rStyle w:val="Bodytext13125pt"/>
          <w:rFonts w:ascii="Times New Roman" w:hAnsi="Times New Roman"/>
          <w:b w:val="0"/>
          <w:i w:val="0"/>
          <w:smallCaps w:val="0"/>
          <w:color w:val="000000"/>
          <w:sz w:val="20"/>
          <w:lang w:val="es-AR" w:eastAsia="es-ES_tradnl"/>
        </w:rPr>
        <w:t>.</w:t>
      </w:r>
    </w:p>
    <w:p w14:paraId="73D691B4" w14:textId="77777777" w:rsidR="003B3957" w:rsidRPr="00AB7B88" w:rsidRDefault="003B3957" w:rsidP="00A728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1 de agosto de 2016,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se convirtió en un </w:t>
      </w:r>
      <w:r w:rsidRPr="00AB7B88">
        <w:rPr>
          <w:rStyle w:val="Bodytext13125pt"/>
          <w:rFonts w:ascii="Times New Roman" w:hAnsi="Times New Roman"/>
          <w:b w:val="0"/>
          <w:smallCaps w:val="0"/>
          <w:color w:val="000000"/>
          <w:sz w:val="20"/>
          <w:lang w:val="es-AR" w:eastAsia="es-ES_tradnl"/>
        </w:rPr>
        <w:t>fixed</w:t>
      </w:r>
      <w:r w:rsidRPr="00AB7B88">
        <w:rPr>
          <w:rStyle w:val="Bodytext52"/>
          <w:rFonts w:ascii="Times New Roman" w:hAnsi="Times New Roman"/>
          <w:color w:val="000000"/>
          <w:sz w:val="20"/>
          <w:lang w:val="es-AR" w:eastAsia="es-ES_tradnl"/>
        </w:rPr>
        <w:t xml:space="preserve"> trustmediante una escritura de modificación (la "Escritura de Modificación"). Esta escritura hace referencia a la supuesta Carta de Deseos remitida por el Sr. Agarwal al entonces Protector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el Sr. Jiwarajka, e indica que la Carta de Deseos "contemplaba la intención de que todos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excepto ciertos bienes brasileños, se distribuyesen en partes iguales entre los cuatro hijos del </w:t>
      </w:r>
      <w:r w:rsidRPr="00AB7B88">
        <w:rPr>
          <w:rStyle w:val="Bodytext13125pt"/>
          <w:rFonts w:ascii="Times New Roman" w:hAnsi="Times New Roman"/>
          <w:b w:val="0"/>
          <w:smallCaps w:val="0"/>
          <w:color w:val="000000"/>
          <w:sz w:val="20"/>
          <w:lang w:val="es-AR" w:eastAsia="es-ES_tradnl"/>
        </w:rPr>
        <w:t>Settlor,</w:t>
      </w:r>
      <w:r w:rsidRPr="00AB7B88">
        <w:rPr>
          <w:rStyle w:val="Bodytext52"/>
          <w:rFonts w:ascii="Times New Roman" w:hAnsi="Times New Roman"/>
          <w:color w:val="000000"/>
          <w:sz w:val="20"/>
          <w:lang w:val="es-AR" w:eastAsia="es-ES_tradnl"/>
        </w:rPr>
        <w:t xml:space="preserve"> Anjani Vasson, Vinita Agarwal, Ritika Mehta y Prenay Agarwal ante un evento de liquidez (venta de bienes, OPI o cualquier otro medio) de los bienes</w:t>
      </w:r>
      <w:r w:rsidRPr="00AB7B88">
        <w:rPr>
          <w:rStyle w:val="Bodytext52"/>
          <w:rFonts w:ascii="Times New Roman" w:hAnsi="Times New Roman"/>
          <w:color w:val="000000"/>
          <w:sz w:val="20"/>
          <w:vertAlign w:val="superscript"/>
          <w:lang w:eastAsia="es-ES_tradnl"/>
        </w:rPr>
        <w:footnoteReference w:id="125"/>
      </w:r>
      <w:r w:rsidRPr="00AB7B88">
        <w:rPr>
          <w:rStyle w:val="Bodytext52"/>
          <w:rFonts w:ascii="Times New Roman" w:hAnsi="Times New Roman"/>
          <w:color w:val="000000"/>
          <w:sz w:val="20"/>
          <w:lang w:val="es-AR" w:eastAsia="es-ES_tradnl"/>
        </w:rPr>
        <w:t xml:space="preserve">". En la Escritura de Modificación también se indica que la Sra. Vasson había optado por ser designada "Persona excluida" del </w:t>
      </w:r>
      <w:r w:rsidRPr="00AB7B88">
        <w:rPr>
          <w:rStyle w:val="Bodytext52"/>
          <w:rFonts w:ascii="Times New Roman" w:hAnsi="Times New Roman"/>
          <w:i/>
          <w:color w:val="000000"/>
          <w:sz w:val="20"/>
          <w:lang w:val="es-AR" w:eastAsia="es-ES_tradnl"/>
        </w:rPr>
        <w:t>Trust</w:t>
      </w:r>
      <w:r w:rsidRPr="00AB7B88">
        <w:rPr>
          <w:rStyle w:val="Bodytext52"/>
          <w:rFonts w:ascii="Times New Roman" w:hAnsi="Times New Roman"/>
          <w:color w:val="000000"/>
          <w:sz w:val="20"/>
          <w:vertAlign w:val="superscript"/>
          <w:lang w:eastAsia="es-ES_tradnl"/>
        </w:rPr>
        <w:footnoteReference w:id="126"/>
      </w:r>
      <w:r w:rsidRPr="00AB7B88">
        <w:rPr>
          <w:rStyle w:val="Bodytext52"/>
          <w:rFonts w:ascii="Times New Roman" w:hAnsi="Times New Roman"/>
          <w:color w:val="000000"/>
          <w:sz w:val="20"/>
          <w:lang w:val="es-AR" w:eastAsia="es-ES_tradnl"/>
        </w:rPr>
        <w:t>.</w:t>
      </w:r>
    </w:p>
    <w:p w14:paraId="09A0918B" w14:textId="77777777" w:rsidR="003B3957" w:rsidRPr="00AB7B88" w:rsidRDefault="003B3957" w:rsidP="000053F7">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De conformidad con la cláusula 17.1 de la escritura original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la Escritura de Modificación declara que todos los Beneficiarios, con excepción del Sr. Agarwal, su esposa y los tres Demandantes, son Personas excluidas, imposibilitadas de percibir cualquier beneficio futuro que se derive de los bienes del Trust</w:t>
      </w:r>
      <w:r w:rsidRPr="00AB7B88">
        <w:rPr>
          <w:rStyle w:val="Bodytext52"/>
          <w:rFonts w:ascii="Times New Roman" w:hAnsi="Times New Roman"/>
          <w:color w:val="000000"/>
          <w:sz w:val="20"/>
          <w:vertAlign w:val="superscript"/>
          <w:lang w:eastAsia="es-ES_tradnl"/>
        </w:rPr>
        <w:footnoteReference w:id="127"/>
      </w:r>
      <w:r w:rsidRPr="00AB7B88">
        <w:rPr>
          <w:rStyle w:val="Bodytext52"/>
          <w:rFonts w:ascii="Times New Roman" w:hAnsi="Times New Roman"/>
          <w:color w:val="000000"/>
          <w:sz w:val="20"/>
          <w:lang w:val="es-AR" w:eastAsia="es-ES_tradnl"/>
        </w:rPr>
        <w:t xml:space="preserve">. De conformidad con el texto de la cláusula 6 de la escritura original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la Escritura de Modificación establece además que "todos los ingresos derivados del Fondo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(con excepción de los ingresos </w:t>
      </w:r>
      <w:r w:rsidRPr="00AB7B88">
        <w:rPr>
          <w:rStyle w:val="Bodytext52"/>
          <w:rFonts w:ascii="Times New Roman" w:hAnsi="Times New Roman"/>
          <w:color w:val="000000"/>
          <w:sz w:val="20"/>
          <w:lang w:val="es-AR" w:eastAsia="es-ES_tradnl"/>
        </w:rPr>
        <w:lastRenderedPageBreak/>
        <w:t xml:space="preserve">derivados de los bienes brasileños) (los "Ingresos Residuales") percibidos ocasionalmente por el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se mantendrán en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a los efectos de pagar tales ingresos en partes iguales a Vinita Agarwal, Ritika Mehta y Prenay Agarwal [... ] tan pronto como sea posible</w:t>
      </w:r>
      <w:r w:rsidRPr="00AB7B88">
        <w:rPr>
          <w:rStyle w:val="Bodytext52"/>
          <w:rFonts w:ascii="Times New Roman" w:hAnsi="Times New Roman"/>
          <w:color w:val="000000"/>
          <w:sz w:val="20"/>
          <w:vertAlign w:val="superscript"/>
          <w:lang w:eastAsia="es-ES_tradnl"/>
        </w:rPr>
        <w:footnoteReference w:id="128"/>
      </w:r>
      <w:r w:rsidRPr="00AB7B88">
        <w:rPr>
          <w:rStyle w:val="Bodytext52"/>
          <w:rFonts w:ascii="Times New Roman" w:hAnsi="Times New Roman"/>
          <w:color w:val="000000"/>
          <w:sz w:val="20"/>
          <w:lang w:val="es-AR" w:eastAsia="es-ES_tradnl"/>
        </w:rPr>
        <w:t>". Además, el texto de la Escritura establece que los tres Demandantes "gozan de un interés inmediato, absoluto, incondicional y efectivo respecto de los Ingresos Residuales en partes iguales</w:t>
      </w:r>
      <w:r w:rsidRPr="00AB7B88">
        <w:rPr>
          <w:rStyle w:val="Bodytext52"/>
          <w:rFonts w:ascii="Times New Roman" w:hAnsi="Times New Roman"/>
          <w:color w:val="000000"/>
          <w:sz w:val="20"/>
          <w:vertAlign w:val="superscript"/>
          <w:lang w:eastAsia="es-ES_tradnl"/>
        </w:rPr>
        <w:footnoteReference w:id="129"/>
      </w:r>
      <w:r w:rsidRPr="00AB7B88">
        <w:rPr>
          <w:rStyle w:val="Bodytext52"/>
          <w:rFonts w:ascii="Times New Roman" w:hAnsi="Times New Roman"/>
          <w:color w:val="000000"/>
          <w:sz w:val="20"/>
          <w:lang w:val="es-AR" w:eastAsia="es-ES_tradnl"/>
        </w:rPr>
        <w:t>". Finalmente, y "para evitar toda duda", la Escritura de Mo</w:t>
      </w:r>
      <w:r w:rsidRPr="00AB7B88">
        <w:rPr>
          <w:rStyle w:val="Bodytext41"/>
          <w:rFonts w:ascii="Times New Roman" w:hAnsi="Times New Roman"/>
          <w:color w:val="000000"/>
          <w:sz w:val="20"/>
          <w:lang w:val="es-AR" w:eastAsia="es-ES_tradnl"/>
        </w:rPr>
        <w:t>difi</w:t>
      </w:r>
      <w:r w:rsidRPr="00AB7B88">
        <w:rPr>
          <w:rStyle w:val="Bodytext52"/>
          <w:rFonts w:ascii="Times New Roman" w:hAnsi="Times New Roman"/>
          <w:color w:val="000000"/>
          <w:sz w:val="20"/>
          <w:lang w:val="es-AR" w:eastAsia="es-ES_tradnl"/>
        </w:rPr>
        <w:t xml:space="preserve">cación aclara que "toda la renta generada por el Fondo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se distribuirá a los Beneficiarios" de conformidad con las disposiciones antes mencionadas</w:t>
      </w:r>
      <w:r w:rsidRPr="00AB7B88">
        <w:rPr>
          <w:rStyle w:val="Bodytext52"/>
          <w:rFonts w:ascii="Times New Roman" w:hAnsi="Times New Roman"/>
          <w:color w:val="000000"/>
          <w:sz w:val="20"/>
          <w:vertAlign w:val="superscript"/>
          <w:lang w:eastAsia="es-ES_tradnl"/>
        </w:rPr>
        <w:footnoteReference w:id="130"/>
      </w:r>
      <w:r w:rsidRPr="00AB7B88">
        <w:rPr>
          <w:rStyle w:val="Bodytext52"/>
          <w:rFonts w:ascii="Times New Roman" w:hAnsi="Times New Roman"/>
          <w:color w:val="000000"/>
          <w:sz w:val="20"/>
          <w:lang w:val="es-AR" w:eastAsia="es-ES_tradnl"/>
        </w:rPr>
        <w:t>.</w:t>
      </w:r>
    </w:p>
    <w:p w14:paraId="6FFC2B61" w14:textId="77777777" w:rsidR="003B3957" w:rsidRPr="00AB7B88" w:rsidRDefault="003B3957" w:rsidP="009854F0">
      <w:pPr>
        <w:pStyle w:val="Heading20"/>
        <w:keepNext/>
        <w:keepLines/>
        <w:numPr>
          <w:ilvl w:val="0"/>
          <w:numId w:val="43"/>
        </w:numPr>
        <w:shd w:val="clear" w:color="auto" w:fill="auto"/>
        <w:spacing w:before="380" w:after="0" w:line="360" w:lineRule="auto"/>
        <w:ind w:left="284" w:hanging="284"/>
        <w:rPr>
          <w:rFonts w:ascii="Times New Roman" w:hAnsi="Times New Roman"/>
          <w:b w:val="0"/>
          <w:sz w:val="20"/>
          <w:lang w:val="es-AR"/>
        </w:rPr>
      </w:pPr>
      <w:bookmarkStart w:id="68" w:name="bookmark72"/>
      <w:bookmarkStart w:id="69" w:name="bookmark70"/>
      <w:bookmarkStart w:id="70" w:name="bookmark71"/>
      <w:r w:rsidRPr="00AB7B88">
        <w:rPr>
          <w:rStyle w:val="Heading2"/>
          <w:rFonts w:ascii="Times New Roman" w:hAnsi="Times New Roman"/>
          <w:b/>
          <w:color w:val="000000"/>
          <w:sz w:val="20"/>
          <w:lang w:val="es-AR" w:eastAsia="es-ES_tradnl"/>
        </w:rPr>
        <w:t xml:space="preserve">Jurisdicción </w:t>
      </w:r>
      <w:r w:rsidRPr="00AB7B88">
        <w:rPr>
          <w:rStyle w:val="Bodytext145pt"/>
          <w:rFonts w:ascii="Times New Roman" w:eastAsia="Calibri" w:hAnsi="Times New Roman"/>
          <w:b/>
          <w:bCs/>
          <w:smallCaps w:val="0"/>
          <w:color w:val="000000"/>
          <w:sz w:val="20"/>
          <w:lang w:val="es-AR" w:eastAsia="es-ES_tradnl"/>
        </w:rPr>
        <w:t>ratione temporis:los</w:t>
      </w:r>
      <w:r w:rsidRPr="00AB7B88">
        <w:rPr>
          <w:rStyle w:val="Heading2"/>
          <w:rFonts w:ascii="Times New Roman" w:hAnsi="Times New Roman"/>
          <w:b/>
          <w:color w:val="000000"/>
          <w:sz w:val="20"/>
          <w:lang w:val="es-AR" w:eastAsia="es-ES_tradnl"/>
        </w:rPr>
        <w:t xml:space="preserve"> argumentos de las Partes</w:t>
      </w:r>
      <w:bookmarkEnd w:id="68"/>
      <w:bookmarkEnd w:id="69"/>
      <w:bookmarkEnd w:id="70"/>
    </w:p>
    <w:p w14:paraId="381916AF" w14:textId="77777777" w:rsidR="003B3957" w:rsidRPr="00AB7B88" w:rsidRDefault="003B3957" w:rsidP="009854F0">
      <w:pPr>
        <w:pStyle w:val="Heading20"/>
        <w:keepNext/>
        <w:keepLines/>
        <w:numPr>
          <w:ilvl w:val="0"/>
          <w:numId w:val="44"/>
        </w:numPr>
        <w:shd w:val="clear" w:color="auto" w:fill="auto"/>
        <w:tabs>
          <w:tab w:val="left" w:pos="566"/>
        </w:tabs>
        <w:spacing w:before="380" w:after="0" w:line="360" w:lineRule="auto"/>
        <w:ind w:left="284" w:hanging="284"/>
        <w:rPr>
          <w:rFonts w:ascii="Times New Roman" w:hAnsi="Times New Roman"/>
          <w:b w:val="0"/>
          <w:sz w:val="20"/>
        </w:rPr>
      </w:pPr>
      <w:bookmarkStart w:id="71" w:name="bookmark73"/>
      <w:r w:rsidRPr="00AB7B88">
        <w:rPr>
          <w:rStyle w:val="Heading2"/>
          <w:rFonts w:ascii="Times New Roman" w:hAnsi="Times New Roman"/>
          <w:b/>
          <w:color w:val="000000"/>
          <w:sz w:val="20"/>
          <w:lang w:eastAsia="es-ES_tradnl"/>
        </w:rPr>
        <w:t>La postura de la Demandada</w:t>
      </w:r>
      <w:bookmarkEnd w:id="71"/>
    </w:p>
    <w:p w14:paraId="35880786" w14:textId="77777777" w:rsidR="003B3957" w:rsidRPr="00AB7B88" w:rsidRDefault="003B3957" w:rsidP="00A91384">
      <w:pPr>
        <w:pStyle w:val="Heading20"/>
        <w:keepNext/>
        <w:keepLines/>
        <w:numPr>
          <w:ilvl w:val="0"/>
          <w:numId w:val="45"/>
        </w:numPr>
        <w:shd w:val="clear" w:color="auto" w:fill="auto"/>
        <w:tabs>
          <w:tab w:val="left" w:pos="284"/>
        </w:tabs>
        <w:spacing w:before="380" w:after="0" w:line="360" w:lineRule="auto"/>
        <w:ind w:firstLine="0"/>
        <w:jc w:val="left"/>
        <w:rPr>
          <w:rFonts w:ascii="Times New Roman" w:hAnsi="Times New Roman"/>
          <w:b w:val="0"/>
          <w:sz w:val="20"/>
          <w:lang w:val="es-AR"/>
        </w:rPr>
      </w:pPr>
      <w:bookmarkStart w:id="72" w:name="bookmark74"/>
      <w:bookmarkStart w:id="73" w:name="bookmark75"/>
      <w:r w:rsidRPr="00AB7B88">
        <w:rPr>
          <w:rStyle w:val="Heading2"/>
          <w:rFonts w:ascii="Times New Roman" w:hAnsi="Times New Roman"/>
          <w:b/>
          <w:color w:val="000000"/>
          <w:sz w:val="20"/>
          <w:lang w:val="es-AR" w:eastAsia="es-ES_tradnl"/>
        </w:rPr>
        <w:t>La relación jurídica entre los Demandantes y las "inversiones" en el momento del supuesto incumplimiento</w:t>
      </w:r>
      <w:bookmarkEnd w:id="72"/>
      <w:bookmarkEnd w:id="73"/>
    </w:p>
    <w:p w14:paraId="3E957240" w14:textId="77777777" w:rsidR="003B3957" w:rsidRPr="00AB7B88" w:rsidRDefault="003B3957" w:rsidP="000053F7">
      <w:pPr>
        <w:pStyle w:val="Bodytext1"/>
        <w:numPr>
          <w:ilvl w:val="0"/>
          <w:numId w:val="41"/>
        </w:numPr>
        <w:shd w:val="clear" w:color="auto" w:fill="auto"/>
        <w:tabs>
          <w:tab w:val="left" w:pos="767"/>
        </w:tabs>
        <w:spacing w:before="380" w:line="360" w:lineRule="auto"/>
        <w:ind w:left="522" w:hanging="522"/>
        <w:jc w:val="both"/>
        <w:rPr>
          <w:sz w:val="20"/>
          <w:lang w:val="es-AR"/>
        </w:rPr>
      </w:pPr>
      <w:r w:rsidRPr="00AB7B88">
        <w:rPr>
          <w:rStyle w:val="Bodytext13125pt"/>
          <w:rFonts w:ascii="Times New Roman" w:hAnsi="Times New Roman"/>
          <w:b w:val="0"/>
          <w:smallCaps w:val="0"/>
          <w:color w:val="000000"/>
          <w:sz w:val="20"/>
          <w:lang w:val="es-AR" w:eastAsia="es-ES_tradnl"/>
        </w:rPr>
        <w:t>Conforme al texto del</w:t>
      </w:r>
      <w:r w:rsidR="001F0A73" w:rsidRPr="00AB7B88">
        <w:rPr>
          <w:rStyle w:val="Bodytext13125pt"/>
          <w:rFonts w:ascii="Times New Roman" w:hAnsi="Times New Roman"/>
          <w:b w:val="0"/>
          <w:smallCaps w:val="0"/>
          <w:color w:val="000000"/>
          <w:sz w:val="20"/>
          <w:lang w:val="es-AR" w:eastAsia="es-ES_tradnl"/>
        </w:rPr>
        <w:t xml:space="preserve"> Trust </w:t>
      </w:r>
      <w:r w:rsidRPr="00AB7B88">
        <w:rPr>
          <w:rStyle w:val="Bodytext13125pt"/>
          <w:rFonts w:ascii="Times New Roman" w:hAnsi="Times New Roman"/>
          <w:b w:val="0"/>
          <w:i w:val="0"/>
          <w:smallCaps w:val="0"/>
          <w:color w:val="000000"/>
          <w:sz w:val="20"/>
          <w:lang w:val="es-AR" w:eastAsia="es-ES_tradnl"/>
        </w:rPr>
        <w:t xml:space="preserve">la Demandada sostiene que al momento de los presuntos </w:t>
      </w:r>
      <w:r w:rsidRPr="00AB7B88">
        <w:rPr>
          <w:rStyle w:val="Bodytext52"/>
          <w:rFonts w:ascii="Times New Roman" w:hAnsi="Times New Roman"/>
          <w:color w:val="000000"/>
          <w:sz w:val="20"/>
          <w:lang w:val="es-AR" w:eastAsia="es-ES_tradnl"/>
        </w:rPr>
        <w:t xml:space="preserve">incumplimientos del TBI con respecto al Proyecto Valentines, los Demandantes, en el mejor de los casos, eran </w:t>
      </w:r>
      <w:r w:rsidRPr="00AB7B88">
        <w:rPr>
          <w:rStyle w:val="Bodytext13125pt"/>
          <w:rFonts w:ascii="Times New Roman" w:hAnsi="Times New Roman"/>
          <w:b w:val="0"/>
          <w:smallCaps w:val="0"/>
          <w:color w:val="000000"/>
          <w:sz w:val="20"/>
          <w:lang w:val="es-AR" w:eastAsia="es-ES_tradnl"/>
        </w:rPr>
        <w:t>discretionarybeneficiaries</w:t>
      </w:r>
      <w:r w:rsidRPr="00AB7B88">
        <w:rPr>
          <w:rStyle w:val="Bodytext52"/>
          <w:rFonts w:ascii="Times New Roman" w:hAnsi="Times New Roman"/>
          <w:color w:val="000000"/>
          <w:sz w:val="20"/>
          <w:lang w:val="es-AR" w:eastAsia="es-ES_tradnl"/>
        </w:rPr>
        <w:t xml:space="preserve">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La Demandada observa que en múltiples cláusulas de la escritura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se hace hincapié en que los Beneficiarios pueden o no percibir beneficios de los ingresos generados por el </w:t>
      </w:r>
      <w:r w:rsidRPr="00AB7B88">
        <w:rPr>
          <w:rStyle w:val="Bodytext13125pt"/>
          <w:rFonts w:ascii="Times New Roman" w:hAnsi="Times New Roman"/>
          <w:b w:val="0"/>
          <w:smallCaps w:val="0"/>
          <w:color w:val="000000"/>
          <w:sz w:val="20"/>
          <w:lang w:val="es-AR" w:eastAsia="es-ES_tradnl"/>
        </w:rPr>
        <w:t>Trust o</w:t>
      </w:r>
      <w:r w:rsidRPr="00AB7B88">
        <w:rPr>
          <w:rStyle w:val="Bodytext52"/>
          <w:rFonts w:ascii="Times New Roman" w:hAnsi="Times New Roman"/>
          <w:color w:val="000000"/>
          <w:sz w:val="20"/>
          <w:lang w:val="es-AR" w:eastAsia="es-ES_tradnl"/>
        </w:rPr>
        <w:t xml:space="preserve"> el capital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sujeto a la discrecionalidad exclusiva de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13125pt"/>
          <w:rFonts w:ascii="Times New Roman" w:hAnsi="Times New Roman"/>
          <w:b w:val="0"/>
          <w:i w:val="0"/>
          <w:smallCaps w:val="0"/>
          <w:color w:val="000000"/>
          <w:sz w:val="20"/>
          <w:vertAlign w:val="superscript"/>
          <w:lang w:eastAsia="es-ES_tradnl"/>
        </w:rPr>
        <w:footnoteReference w:id="131"/>
      </w:r>
      <w:r w:rsidRPr="00AB7B88">
        <w:rPr>
          <w:rStyle w:val="Bodytext13125pt"/>
          <w:rFonts w:ascii="Times New Roman" w:hAnsi="Times New Roman"/>
          <w:b w:val="0"/>
          <w:smallCaps w:val="0"/>
          <w:color w:val="000000"/>
          <w:sz w:val="20"/>
          <w:lang w:val="es-AR" w:eastAsia="es-ES_tradnl"/>
        </w:rPr>
        <w:t>.</w:t>
      </w:r>
    </w:p>
    <w:p w14:paraId="064CE189" w14:textId="77777777" w:rsidR="003B3957" w:rsidRPr="00AB7B88" w:rsidRDefault="003B3957" w:rsidP="000053F7">
      <w:pPr>
        <w:pStyle w:val="Bodytext1"/>
        <w:numPr>
          <w:ilvl w:val="0"/>
          <w:numId w:val="41"/>
        </w:numPr>
        <w:shd w:val="clear" w:color="auto" w:fill="auto"/>
        <w:tabs>
          <w:tab w:val="left" w:pos="753"/>
        </w:tabs>
        <w:spacing w:before="380" w:line="360" w:lineRule="auto"/>
        <w:ind w:left="522" w:hanging="522"/>
        <w:jc w:val="both"/>
        <w:rPr>
          <w:sz w:val="20"/>
          <w:lang w:val="es-AR"/>
        </w:rPr>
      </w:pPr>
      <w:r w:rsidRPr="00AB7B88">
        <w:rPr>
          <w:rStyle w:val="Bodytext13125pt"/>
          <w:rFonts w:ascii="Times New Roman" w:hAnsi="Times New Roman"/>
          <w:b w:val="0"/>
          <w:bCs w:val="0"/>
          <w:smallCaps w:val="0"/>
          <w:color w:val="000000"/>
          <w:sz w:val="20"/>
          <w:lang w:val="es-AR" w:eastAsia="es-ES_tradnl"/>
        </w:rPr>
        <w:t>Conforme al derecho de las Islas Caimán</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la Demandada sostiene que, conforme al derecho de las Islas Caimán, los </w:t>
      </w:r>
      <w:r w:rsidRPr="00AB7B88">
        <w:rPr>
          <w:rStyle w:val="Bodytext13125pt"/>
          <w:rFonts w:ascii="Times New Roman" w:hAnsi="Times New Roman"/>
          <w:b w:val="0"/>
          <w:bCs w:val="0"/>
          <w:smallCaps w:val="0"/>
          <w:color w:val="000000"/>
          <w:sz w:val="20"/>
          <w:lang w:val="es-AR" w:eastAsia="es-ES_tradnl"/>
        </w:rPr>
        <w:t>discretionary beneficiaries</w:t>
      </w:r>
      <w:r w:rsidRPr="00AB7B88">
        <w:rPr>
          <w:rStyle w:val="Bodytext52"/>
          <w:rFonts w:ascii="Times New Roman" w:hAnsi="Times New Roman"/>
          <w:color w:val="000000"/>
          <w:sz w:val="20"/>
          <w:lang w:val="es-AR" w:eastAsia="es-ES_tradnl"/>
        </w:rPr>
        <w:t xml:space="preserve"> de un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no son titulares legales ni están facultados a percibir los beneficios devengados de los bienes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La Demandada observa que toda determinación respecto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tales como los derechos y los intereses de sus Beneficiarios, se debe realizar "de conformidad con las leyes de las Islas, sin hacer referencia a las leyes de otras jurisdicciones con las que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o la disposición pueda estar relacionada", según el artículo 90 de la Ley de </w:t>
      </w:r>
      <w:r w:rsidR="004D2026" w:rsidRPr="00AB7B88">
        <w:rPr>
          <w:rStyle w:val="Bodytext13125pt"/>
          <w:rFonts w:ascii="Times New Roman" w:hAnsi="Times New Roman"/>
          <w:b w:val="0"/>
          <w:bCs w:val="0"/>
          <w:smallCaps w:val="0"/>
          <w:color w:val="000000"/>
          <w:sz w:val="20"/>
          <w:lang w:val="es-AR" w:eastAsia="es-ES_tradnl"/>
        </w:rPr>
        <w:t>Trusts</w:t>
      </w:r>
      <w:r w:rsidRPr="00AB7B88">
        <w:rPr>
          <w:rStyle w:val="Bodytext52"/>
          <w:rFonts w:ascii="Times New Roman" w:hAnsi="Times New Roman"/>
          <w:color w:val="000000"/>
          <w:sz w:val="20"/>
          <w:lang w:val="es-AR" w:eastAsia="es-ES_tradnl"/>
        </w:rPr>
        <w:t xml:space="preserve"> de las Islas Caimán</w:t>
      </w:r>
      <w:r w:rsidRPr="00AB7B88">
        <w:rPr>
          <w:rStyle w:val="Bodytext52"/>
          <w:rFonts w:ascii="Times New Roman" w:hAnsi="Times New Roman"/>
          <w:color w:val="000000"/>
          <w:sz w:val="20"/>
          <w:vertAlign w:val="superscript"/>
          <w:lang w:eastAsia="es-ES_tradnl"/>
        </w:rPr>
        <w:footnoteReference w:id="132"/>
      </w:r>
      <w:r w:rsidRPr="00AB7B88">
        <w:rPr>
          <w:rStyle w:val="Bodytext52"/>
          <w:rFonts w:ascii="Times New Roman" w:hAnsi="Times New Roman"/>
          <w:color w:val="000000"/>
          <w:sz w:val="20"/>
          <w:lang w:val="es-AR" w:eastAsia="es-ES_tradnl"/>
        </w:rPr>
        <w:t>.</w:t>
      </w:r>
    </w:p>
    <w:p w14:paraId="4E7507E8" w14:textId="77777777" w:rsidR="003B3957" w:rsidRPr="00AB7B88" w:rsidRDefault="003B3957" w:rsidP="00776976">
      <w:pPr>
        <w:pStyle w:val="Bodytext1"/>
        <w:numPr>
          <w:ilvl w:val="0"/>
          <w:numId w:val="41"/>
        </w:numPr>
        <w:shd w:val="clear" w:color="auto" w:fill="auto"/>
        <w:tabs>
          <w:tab w:val="left" w:pos="738"/>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Según la Demandada, el derecho de las Islas Caimán dispone explícitamente que los </w:t>
      </w:r>
      <w:r w:rsidRPr="00AB7B88">
        <w:rPr>
          <w:rStyle w:val="Bodytext13125pt"/>
          <w:rFonts w:ascii="Times New Roman" w:hAnsi="Times New Roman"/>
          <w:b w:val="0"/>
          <w:smallCaps w:val="0"/>
          <w:color w:val="000000"/>
          <w:sz w:val="20"/>
          <w:lang w:val="es-AR" w:eastAsia="es-ES_tradnl"/>
        </w:rPr>
        <w:t xml:space="preserve">"discretionary </w:t>
      </w:r>
      <w:r w:rsidRPr="00AB7B88">
        <w:rPr>
          <w:rStyle w:val="Bodytext13125pt"/>
          <w:rFonts w:ascii="Times New Roman" w:hAnsi="Times New Roman"/>
          <w:b w:val="0"/>
          <w:smallCaps w:val="0"/>
          <w:color w:val="000000"/>
          <w:sz w:val="20"/>
          <w:lang w:val="es-AR" w:eastAsia="es-ES_tradnl"/>
        </w:rPr>
        <w:lastRenderedPageBreak/>
        <w:t xml:space="preserve">beneficiaries have neither legal nor beneficial ownership of or interests in a </w:t>
      </w:r>
      <w:r w:rsidR="004D2026" w:rsidRPr="00AB7B88">
        <w:rPr>
          <w:rStyle w:val="Bodytext13125pt"/>
          <w:rFonts w:ascii="Times New Roman" w:hAnsi="Times New Roman"/>
          <w:b w:val="0"/>
          <w:smallCaps w:val="0"/>
          <w:color w:val="000000"/>
          <w:sz w:val="20"/>
          <w:lang w:val="es-AR" w:eastAsia="es-ES_tradnl"/>
        </w:rPr>
        <w:t>Trusts</w:t>
      </w:r>
      <w:r w:rsidRPr="00AB7B88">
        <w:rPr>
          <w:rStyle w:val="Bodytext13125pt"/>
          <w:rFonts w:ascii="Times New Roman" w:hAnsi="Times New Roman"/>
          <w:b w:val="0"/>
          <w:smallCaps w:val="0"/>
          <w:color w:val="000000"/>
          <w:sz w:val="20"/>
          <w:lang w:val="es-AR" w:eastAsia="es-ES_tradnl"/>
        </w:rPr>
        <w:t xml:space="preserve"> assets</w:t>
      </w:r>
      <w:r w:rsidRPr="00AB7B88">
        <w:rPr>
          <w:rStyle w:val="Bodytext13125pt"/>
          <w:rFonts w:ascii="Times New Roman" w:hAnsi="Times New Roman"/>
          <w:b w:val="0"/>
          <w:i w:val="0"/>
          <w:smallCaps w:val="0"/>
          <w:color w:val="000000"/>
          <w:sz w:val="20"/>
          <w:vertAlign w:val="superscript"/>
          <w:lang w:eastAsia="es-ES_tradnl"/>
        </w:rPr>
        <w:footnoteReference w:id="133"/>
      </w:r>
      <w:r w:rsidRPr="00AB7B88">
        <w:rPr>
          <w:rStyle w:val="Bodytext13125pt"/>
          <w:rFonts w:ascii="Times New Roman" w:hAnsi="Times New Roman"/>
          <w:b w:val="0"/>
          <w:i w:val="0"/>
          <w:smallCaps w:val="0"/>
          <w:color w:val="000000"/>
          <w:sz w:val="20"/>
          <w:lang w:val="es-AR" w:eastAsia="es-ES_tradnl"/>
        </w:rPr>
        <w:t>"</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Remitiéndose a </w:t>
      </w:r>
      <w:r w:rsidRPr="00AB7B88">
        <w:rPr>
          <w:rStyle w:val="Bodytext13125pt"/>
          <w:rFonts w:ascii="Times New Roman" w:hAnsi="Times New Roman"/>
          <w:b w:val="0"/>
          <w:smallCaps w:val="0"/>
          <w:color w:val="000000"/>
          <w:sz w:val="20"/>
          <w:lang w:val="es-AR" w:eastAsia="es-ES_tradnl"/>
        </w:rPr>
        <w:t>Coutts (Cayman)v. Lemos</w:t>
      </w:r>
      <w:r w:rsidRPr="00AB7B88">
        <w:rPr>
          <w:rStyle w:val="Bodytext13125pt"/>
          <w:rFonts w:ascii="Times New Roman" w:hAnsi="Times New Roman"/>
          <w:b w:val="0"/>
          <w:i w:val="0"/>
          <w:smallCaps w:val="0"/>
          <w:color w:val="000000"/>
          <w:sz w:val="20"/>
          <w:vertAlign w:val="superscript"/>
          <w:lang w:eastAsia="es-ES_tradnl"/>
        </w:rPr>
        <w:footnoteReference w:id="134"/>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la Demandada sostiene que, conforme al derecho de las Islas Caimán, los </w:t>
      </w:r>
      <w:r w:rsidRPr="00AB7B88">
        <w:rPr>
          <w:rStyle w:val="Bodytext13125pt"/>
          <w:rFonts w:ascii="Times New Roman" w:hAnsi="Times New Roman"/>
          <w:b w:val="0"/>
          <w:smallCaps w:val="0"/>
          <w:color w:val="000000"/>
          <w:sz w:val="20"/>
          <w:lang w:val="es-AR" w:eastAsia="es-ES_tradnl"/>
        </w:rPr>
        <w:t>discretionary beneficiaries</w:t>
      </w:r>
      <w:r w:rsidRPr="00AB7B88">
        <w:rPr>
          <w:rStyle w:val="Bodytext52"/>
          <w:rFonts w:ascii="Times New Roman" w:hAnsi="Times New Roman"/>
          <w:color w:val="000000"/>
          <w:sz w:val="20"/>
          <w:lang w:val="es-AR" w:eastAsia="es-ES_tradnl"/>
        </w:rPr>
        <w:t xml:space="preserve"> están facultados a percibir beneficios solamente a discreción de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quienes pueden "decidir darle a un </w:t>
      </w:r>
      <w:r w:rsidRPr="00AB7B88">
        <w:rPr>
          <w:rStyle w:val="Bodytext13125pt"/>
          <w:rFonts w:ascii="Times New Roman" w:hAnsi="Times New Roman"/>
          <w:b w:val="0"/>
          <w:smallCaps w:val="0"/>
          <w:color w:val="000000"/>
          <w:sz w:val="20"/>
          <w:lang w:val="es-AR" w:eastAsia="es-ES_tradnl"/>
        </w:rPr>
        <w:t>discretionary beneficiary</w:t>
      </w:r>
      <w:r w:rsidRPr="00AB7B88">
        <w:rPr>
          <w:rStyle w:val="Bodytext52"/>
          <w:rFonts w:ascii="Times New Roman" w:hAnsi="Times New Roman"/>
          <w:color w:val="000000"/>
          <w:sz w:val="20"/>
          <w:lang w:val="es-AR" w:eastAsia="es-ES_tradnl"/>
        </w:rPr>
        <w:t xml:space="preserve"> en particular la totalidad de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o, alternativamente, nada en absoluto</w:t>
      </w:r>
      <w:r w:rsidRPr="00AB7B88">
        <w:rPr>
          <w:rStyle w:val="Bodytext52"/>
          <w:rFonts w:ascii="Times New Roman" w:hAnsi="Times New Roman"/>
          <w:color w:val="000000"/>
          <w:sz w:val="20"/>
          <w:vertAlign w:val="superscript"/>
          <w:lang w:eastAsia="es-ES_tradnl"/>
        </w:rPr>
        <w:footnoteReference w:id="135"/>
      </w:r>
      <w:r w:rsidRPr="00AB7B88">
        <w:rPr>
          <w:rStyle w:val="Bodytext52"/>
          <w:rFonts w:ascii="Times New Roman" w:hAnsi="Times New Roman"/>
          <w:color w:val="000000"/>
          <w:sz w:val="20"/>
          <w:lang w:val="es-AR" w:eastAsia="es-ES_tradnl"/>
        </w:rPr>
        <w:t xml:space="preserve">". La Demandada sostiene que, por este motivo, los </w:t>
      </w:r>
      <w:r w:rsidRPr="00AB7B88">
        <w:rPr>
          <w:rStyle w:val="Bodytext13125pt"/>
          <w:rFonts w:ascii="Times New Roman" w:hAnsi="Times New Roman"/>
          <w:b w:val="0"/>
          <w:smallCaps w:val="0"/>
          <w:color w:val="000000"/>
          <w:sz w:val="20"/>
          <w:lang w:val="es-AR" w:eastAsia="es-ES_tradnl"/>
        </w:rPr>
        <w:t>discretionary beneficiaries,</w:t>
      </w:r>
      <w:r w:rsidRPr="00AB7B88">
        <w:rPr>
          <w:rStyle w:val="Bodytext52"/>
          <w:rFonts w:ascii="Times New Roman" w:hAnsi="Times New Roman"/>
          <w:color w:val="000000"/>
          <w:sz w:val="20"/>
          <w:lang w:val="es-AR" w:eastAsia="es-ES_tradnl"/>
        </w:rPr>
        <w:t xml:space="preserve"> como es el caso de los</w:t>
      </w:r>
      <w:r w:rsidR="00776976" w:rsidRPr="00AB7B88">
        <w:rPr>
          <w:sz w:val="20"/>
          <w:lang w:val="es-AR"/>
        </w:rPr>
        <w:t xml:space="preserve"> </w:t>
      </w:r>
      <w:r w:rsidRPr="00AB7B88">
        <w:rPr>
          <w:rStyle w:val="Bodytext52"/>
          <w:rFonts w:ascii="Times New Roman" w:hAnsi="Times New Roman"/>
          <w:color w:val="000000"/>
          <w:sz w:val="20"/>
          <w:lang w:val="es-AR" w:eastAsia="es-ES_tradnl"/>
        </w:rPr>
        <w:t xml:space="preserve">Demandantes, "no tiene[n] ningún </w:t>
      </w:r>
      <w:r w:rsidRPr="00AB7B88">
        <w:rPr>
          <w:rStyle w:val="Bodytext13125pt"/>
          <w:rFonts w:ascii="Times New Roman" w:hAnsi="Times New Roman"/>
          <w:b w:val="0"/>
          <w:smallCaps w:val="0"/>
          <w:color w:val="000000"/>
          <w:sz w:val="20"/>
          <w:lang w:val="es-AR" w:eastAsia="es-ES_tradnl"/>
        </w:rPr>
        <w:t>legal orbeneficial ownership rights</w:t>
      </w:r>
      <w:r w:rsidRPr="00AB7B88">
        <w:rPr>
          <w:rStyle w:val="Bodytext52"/>
          <w:rFonts w:ascii="Times New Roman" w:hAnsi="Times New Roman"/>
          <w:color w:val="000000"/>
          <w:sz w:val="20"/>
          <w:lang w:val="es-AR" w:eastAsia="es-ES_tradnl"/>
        </w:rPr>
        <w:t xml:space="preserve"> sobre los bienes del </w:t>
      </w:r>
      <w:r w:rsidRPr="00AB7B88">
        <w:rPr>
          <w:rStyle w:val="Bodytext13125pt"/>
          <w:rFonts w:ascii="Times New Roman" w:hAnsi="Times New Roman"/>
          <w:b w:val="0"/>
          <w:smallCaps w:val="0"/>
          <w:color w:val="000000"/>
          <w:sz w:val="20"/>
          <w:lang w:val="es-AR" w:eastAsia="es-ES_tradnl"/>
        </w:rPr>
        <w:t xml:space="preserve">Trust’ </w:t>
      </w:r>
      <w:r w:rsidRPr="00AB7B88">
        <w:rPr>
          <w:rStyle w:val="Bodytext52"/>
          <w:rFonts w:ascii="Times New Roman" w:hAnsi="Times New Roman"/>
          <w:color w:val="000000"/>
          <w:sz w:val="20"/>
          <w:lang w:val="es-AR" w:eastAsia="es-ES_tradnl"/>
        </w:rPr>
        <w:t xml:space="preserve">"hasta el momento en que el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ejerza la discreción a su favor</w:t>
      </w:r>
      <w:r w:rsidRPr="00AB7B88">
        <w:rPr>
          <w:rStyle w:val="Bodytext52"/>
          <w:rFonts w:ascii="Times New Roman" w:hAnsi="Times New Roman"/>
          <w:color w:val="000000"/>
          <w:sz w:val="20"/>
          <w:vertAlign w:val="superscript"/>
          <w:lang w:eastAsia="es-ES_tradnl"/>
        </w:rPr>
        <w:footnoteReference w:id="136"/>
      </w:r>
      <w:r w:rsidRPr="00AB7B88">
        <w:rPr>
          <w:rStyle w:val="Bodytext52"/>
          <w:rFonts w:ascii="Times New Roman" w:hAnsi="Times New Roman"/>
          <w:color w:val="000000"/>
          <w:sz w:val="20"/>
          <w:lang w:val="es-AR" w:eastAsia="es-ES_tradnl"/>
        </w:rPr>
        <w:t>".</w:t>
      </w:r>
    </w:p>
    <w:p w14:paraId="7ABD1F87" w14:textId="77777777" w:rsidR="003B3957" w:rsidRPr="00AB7B88" w:rsidRDefault="003B3957" w:rsidP="000053F7">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La Demandada advierte que, hasta el 3 de agosto de 2036, cuando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se convirtió en un </w:t>
      </w:r>
      <w:r w:rsidRPr="00AB7B88">
        <w:rPr>
          <w:rStyle w:val="Bodytext13125pt"/>
          <w:rFonts w:ascii="Times New Roman" w:hAnsi="Times New Roman"/>
          <w:b w:val="0"/>
          <w:smallCaps w:val="0"/>
          <w:color w:val="000000"/>
          <w:sz w:val="20"/>
          <w:lang w:val="es-AR" w:eastAsia="es-ES_tradnl"/>
        </w:rPr>
        <w:t>fixed trust,</w:t>
      </w:r>
      <w:r w:rsidRPr="00AB7B88">
        <w:rPr>
          <w:rStyle w:val="Bodytext52"/>
          <w:rFonts w:ascii="Times New Roman" w:hAnsi="Times New Roman"/>
          <w:color w:val="000000"/>
          <w:sz w:val="20"/>
          <w:lang w:val="es-AR" w:eastAsia="es-ES_tradnl"/>
        </w:rPr>
        <w:t xml:space="preserve"> los Demandantes eran meramente algunos de los varios Beneficiarios de los bienes del </w:t>
      </w:r>
      <w:r w:rsidRPr="00AB7B88">
        <w:rPr>
          <w:rStyle w:val="Bodytext13125pt"/>
          <w:rFonts w:ascii="Times New Roman" w:hAnsi="Times New Roman"/>
          <w:b w:val="0"/>
          <w:smallCaps w:val="0"/>
          <w:color w:val="000000"/>
          <w:sz w:val="20"/>
          <w:lang w:val="es-AR" w:eastAsia="es-ES_tradnl"/>
        </w:rPr>
        <w:t xml:space="preserve">Trust, </w:t>
      </w:r>
      <w:r w:rsidRPr="00AB7B88">
        <w:rPr>
          <w:rStyle w:val="Bodytext52"/>
          <w:rFonts w:ascii="Times New Roman" w:hAnsi="Times New Roman"/>
          <w:color w:val="000000"/>
          <w:sz w:val="20"/>
          <w:lang w:val="es-AR" w:eastAsia="es-ES_tradnl"/>
        </w:rPr>
        <w:t xml:space="preserve">y tenían derechos respecto de esos beneficios a discreción de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quienes podían asignar dichos beneficios "con exclusión de uno o más de los demás</w:t>
      </w:r>
      <w:r w:rsidRPr="00AB7B88">
        <w:rPr>
          <w:rStyle w:val="Bodytext52"/>
          <w:rFonts w:ascii="Times New Roman" w:hAnsi="Times New Roman"/>
          <w:color w:val="000000"/>
          <w:sz w:val="20"/>
          <w:vertAlign w:val="superscript"/>
          <w:lang w:eastAsia="es-ES_tradnl"/>
        </w:rPr>
        <w:footnoteReference w:id="137"/>
      </w:r>
      <w:r w:rsidRPr="00AB7B88">
        <w:rPr>
          <w:rStyle w:val="Bodytext52"/>
          <w:rFonts w:ascii="Times New Roman" w:hAnsi="Times New Roman"/>
          <w:color w:val="000000"/>
          <w:sz w:val="20"/>
          <w:lang w:val="es-AR" w:eastAsia="es-ES_tradnl"/>
        </w:rPr>
        <w:t xml:space="preserve">". La Demandada añade que el Sr. Agarwal estableció intencionadamente la estructura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de modo que no se le confiriesen a los Demandantes </w:t>
      </w:r>
      <w:r w:rsidRPr="00AB7B88">
        <w:rPr>
          <w:rStyle w:val="Bodytext13125pt"/>
          <w:rFonts w:ascii="Times New Roman" w:hAnsi="Times New Roman"/>
          <w:b w:val="0"/>
          <w:smallCaps w:val="0"/>
          <w:color w:val="000000"/>
          <w:sz w:val="20"/>
          <w:lang w:val="es-AR" w:eastAsia="es-ES_tradnl"/>
        </w:rPr>
        <w:t>fixed interests</w:t>
      </w:r>
      <w:r w:rsidRPr="00AB7B88">
        <w:rPr>
          <w:rStyle w:val="Bodytext52"/>
          <w:rFonts w:ascii="Times New Roman" w:hAnsi="Times New Roman"/>
          <w:color w:val="000000"/>
          <w:sz w:val="20"/>
          <w:lang w:val="es-AR" w:eastAsia="es-ES_tradnl"/>
        </w:rPr>
        <w:t xml:space="preserve"> hasta el 1 de agosto de 2016 y, en realidad,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siguió siendo revocable incluso hasta diciembre de 2032</w:t>
      </w:r>
      <w:r w:rsidRPr="00AB7B88">
        <w:rPr>
          <w:rStyle w:val="Bodytext52"/>
          <w:rFonts w:ascii="Times New Roman" w:hAnsi="Times New Roman"/>
          <w:color w:val="000000"/>
          <w:sz w:val="20"/>
          <w:vertAlign w:val="superscript"/>
          <w:lang w:eastAsia="es-ES_tradnl"/>
        </w:rPr>
        <w:footnoteReference w:id="138"/>
      </w:r>
      <w:r w:rsidRPr="00AB7B88">
        <w:rPr>
          <w:rStyle w:val="Bodytext52"/>
          <w:rFonts w:ascii="Times New Roman" w:hAnsi="Times New Roman"/>
          <w:color w:val="000000"/>
          <w:sz w:val="20"/>
          <w:lang w:val="es-AR" w:eastAsia="es-ES_tradnl"/>
        </w:rPr>
        <w:t xml:space="preserve">. En consecuencia, la Demandada afirma que si los Demandantes no tenían </w:t>
      </w:r>
      <w:r w:rsidRPr="00AB7B88">
        <w:rPr>
          <w:rStyle w:val="Bodytext13125pt"/>
          <w:rFonts w:ascii="Times New Roman" w:hAnsi="Times New Roman"/>
          <w:b w:val="0"/>
          <w:smallCaps w:val="0"/>
          <w:color w:val="000000"/>
          <w:sz w:val="20"/>
          <w:lang w:val="es-AR" w:eastAsia="es-ES_tradnl"/>
        </w:rPr>
        <w:t>"legal orbeneficial ownership of orinterests</w:t>
      </w:r>
      <w:r w:rsidRPr="00AB7B88">
        <w:rPr>
          <w:rStyle w:val="Bodytext52"/>
          <w:rFonts w:ascii="Times New Roman" w:hAnsi="Times New Roman"/>
          <w:color w:val="000000"/>
          <w:sz w:val="20"/>
          <w:lang w:val="es-AR" w:eastAsia="es-ES_tradnl"/>
        </w:rPr>
        <w:t xml:space="preserve"> sobre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13125pt"/>
          <w:rFonts w:ascii="Times New Roman" w:hAnsi="Times New Roman"/>
          <w:b w:val="0"/>
          <w:i w:val="0"/>
          <w:smallCaps w:val="0"/>
          <w:color w:val="000000"/>
          <w:sz w:val="20"/>
          <w:vertAlign w:val="superscript"/>
          <w:lang w:eastAsia="es-ES_tradnl"/>
        </w:rPr>
        <w:footnoteReference w:id="139"/>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de esto se desprende lógicamente que "no es posible que fueran titulares de inversiones mediante el </w:t>
      </w:r>
      <w:r w:rsidRPr="00AB7B88">
        <w:rPr>
          <w:rStyle w:val="Bodytext13125pt"/>
          <w:rFonts w:ascii="Times New Roman" w:hAnsi="Times New Roman"/>
          <w:b w:val="0"/>
          <w:smallCaps w:val="0"/>
          <w:color w:val="000000"/>
          <w:sz w:val="20"/>
          <w:lang w:val="es-AR" w:eastAsia="es-ES_tradnl"/>
        </w:rPr>
        <w:t>Trust</w:t>
      </w:r>
      <w:r w:rsidRPr="00AB7B88">
        <w:rPr>
          <w:rStyle w:val="Bodytext13125pt"/>
          <w:rFonts w:ascii="Times New Roman" w:hAnsi="Times New Roman"/>
          <w:b w:val="0"/>
          <w:i w:val="0"/>
          <w:smallCaps w:val="0"/>
          <w:color w:val="000000"/>
          <w:sz w:val="20"/>
          <w:vertAlign w:val="superscript"/>
          <w:lang w:eastAsia="es-ES_tradnl"/>
        </w:rPr>
        <w:footnoteReference w:id="140"/>
      </w:r>
      <w:r w:rsidRPr="00AB7B88">
        <w:rPr>
          <w:rStyle w:val="Bodytext13125pt"/>
          <w:rFonts w:ascii="Times New Roman" w:hAnsi="Times New Roman"/>
          <w:b w:val="0"/>
          <w:smallCaps w:val="0"/>
          <w:color w:val="000000"/>
          <w:sz w:val="20"/>
          <w:lang w:val="es-AR" w:eastAsia="es-ES_tradnl"/>
        </w:rPr>
        <w:t>".</w:t>
      </w:r>
    </w:p>
    <w:p w14:paraId="446F6C7D" w14:textId="77777777" w:rsidR="003B3957" w:rsidRPr="00AB7B88" w:rsidRDefault="003B3957" w:rsidP="000053F7">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segundo lugar, la Demandada sostiene que la postura de los Demandantes según la cual la Carta de Deseos configura sus </w:t>
      </w:r>
      <w:r w:rsidRPr="00AB7B88">
        <w:rPr>
          <w:rStyle w:val="Bodytext13125pt"/>
          <w:rFonts w:ascii="Times New Roman" w:hAnsi="Times New Roman"/>
          <w:b w:val="0"/>
          <w:smallCaps w:val="0"/>
          <w:color w:val="000000"/>
          <w:sz w:val="20"/>
          <w:lang w:val="es-AR" w:eastAsia="es-ES_tradnl"/>
        </w:rPr>
        <w:t>legal or beneficial ownership rights</w:t>
      </w:r>
      <w:r w:rsidRPr="00AB7B88">
        <w:rPr>
          <w:rStyle w:val="Bodytext52"/>
          <w:rFonts w:ascii="Times New Roman" w:hAnsi="Times New Roman"/>
          <w:color w:val="000000"/>
          <w:sz w:val="20"/>
          <w:lang w:val="es-AR" w:eastAsia="es-ES_tradnl"/>
        </w:rPr>
        <w:t xml:space="preserve"> en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carece de fundamento conforme al derecho de las Islas Caimán. En el derecho de las Islas Caimán, las cartas de deseos "no son vinculantes"</w:t>
      </w:r>
      <w:r w:rsidRPr="00AB7B88">
        <w:rPr>
          <w:rStyle w:val="Bodytext52"/>
          <w:rFonts w:ascii="Times New Roman" w:hAnsi="Times New Roman"/>
          <w:color w:val="000000"/>
          <w:sz w:val="20"/>
          <w:vertAlign w:val="superscript"/>
          <w:lang w:eastAsia="es-ES_tradnl"/>
        </w:rPr>
        <w:footnoteReference w:id="141"/>
      </w:r>
      <w:r w:rsidRPr="00AB7B88">
        <w:rPr>
          <w:rStyle w:val="Bodytext52"/>
          <w:rFonts w:ascii="Times New Roman" w:hAnsi="Times New Roman"/>
          <w:color w:val="000000"/>
          <w:sz w:val="20"/>
          <w:lang w:val="es-AR" w:eastAsia="es-ES_tradnl"/>
        </w:rPr>
        <w:t xml:space="preserve">: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52"/>
          <w:rFonts w:ascii="Times New Roman" w:hAnsi="Times New Roman"/>
          <w:color w:val="000000"/>
          <w:sz w:val="20"/>
          <w:lang w:val="es-AR" w:eastAsia="es-ES_tradnl"/>
        </w:rPr>
        <w:t xml:space="preserve"> pueden tomar en consideración las cartas de deseos en el momento de determinar la asignación de beneficios en el marco de un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como uno de varios factores</w:t>
      </w:r>
      <w:r w:rsidRPr="00AB7B88">
        <w:rPr>
          <w:rStyle w:val="Bodytext52"/>
          <w:rFonts w:ascii="Times New Roman" w:hAnsi="Times New Roman"/>
          <w:color w:val="000000"/>
          <w:sz w:val="20"/>
          <w:vertAlign w:val="superscript"/>
          <w:lang w:eastAsia="es-ES_tradnl"/>
        </w:rPr>
        <w:footnoteReference w:id="142"/>
      </w:r>
      <w:r w:rsidRPr="00AB7B88">
        <w:rPr>
          <w:rStyle w:val="Bodytext52"/>
          <w:rFonts w:ascii="Times New Roman" w:hAnsi="Times New Roman"/>
          <w:color w:val="000000"/>
          <w:sz w:val="20"/>
          <w:lang w:val="es-AR" w:eastAsia="es-ES_tradnl"/>
        </w:rPr>
        <w:t xml:space="preserve">, pero dichos documentos no inciden en si un beneficiario se considera </w:t>
      </w:r>
      <w:r w:rsidRPr="00AB7B88">
        <w:rPr>
          <w:rStyle w:val="Bodytext13125pt"/>
          <w:rFonts w:ascii="Times New Roman" w:hAnsi="Times New Roman"/>
          <w:b w:val="0"/>
          <w:smallCaps w:val="0"/>
          <w:color w:val="000000"/>
          <w:sz w:val="20"/>
          <w:lang w:val="es-AR" w:eastAsia="es-ES_tradnl"/>
        </w:rPr>
        <w:t>discretionarybeneficiary</w:t>
      </w:r>
      <w:r w:rsidRPr="00AB7B88">
        <w:rPr>
          <w:rStyle w:val="Bodytext52"/>
          <w:rFonts w:ascii="Times New Roman" w:hAnsi="Times New Roman"/>
          <w:color w:val="000000"/>
          <w:sz w:val="20"/>
          <w:lang w:val="es-AR" w:eastAsia="es-ES_tradnl"/>
        </w:rPr>
        <w:t xml:space="preserve"> o </w:t>
      </w:r>
      <w:r w:rsidRPr="00AB7B88">
        <w:rPr>
          <w:rStyle w:val="Bodytext13125pt"/>
          <w:rFonts w:ascii="Times New Roman" w:hAnsi="Times New Roman"/>
          <w:b w:val="0"/>
          <w:smallCaps w:val="0"/>
          <w:color w:val="000000"/>
          <w:sz w:val="20"/>
          <w:lang w:val="es-AR" w:eastAsia="es-ES_tradnl"/>
        </w:rPr>
        <w:t>fixed beneficiary</w:t>
      </w:r>
      <w:r w:rsidRPr="00AB7B88">
        <w:rPr>
          <w:rStyle w:val="Bodytext52"/>
          <w:rFonts w:ascii="Times New Roman" w:hAnsi="Times New Roman"/>
          <w:color w:val="000000"/>
          <w:sz w:val="20"/>
          <w:lang w:val="es-AR" w:eastAsia="es-ES_tradnl"/>
        </w:rPr>
        <w:t xml:space="preserve"> y, por ende, si posee derechos de </w:t>
      </w:r>
      <w:r w:rsidRPr="00AB7B88">
        <w:rPr>
          <w:rStyle w:val="Bodytext13125pt"/>
          <w:rFonts w:ascii="Times New Roman" w:hAnsi="Times New Roman"/>
          <w:b w:val="0"/>
          <w:smallCaps w:val="0"/>
          <w:color w:val="000000"/>
          <w:sz w:val="20"/>
          <w:lang w:val="es-AR" w:eastAsia="es-ES_tradnl"/>
        </w:rPr>
        <w:lastRenderedPageBreak/>
        <w:t>beneficial owner</w:t>
      </w:r>
      <w:r w:rsidRPr="00AB7B88">
        <w:rPr>
          <w:rStyle w:val="Bodytext52"/>
          <w:rFonts w:ascii="Times New Roman" w:hAnsi="Times New Roman"/>
          <w:color w:val="000000"/>
          <w:sz w:val="20"/>
          <w:lang w:val="es-AR" w:eastAsia="es-ES_tradnl"/>
        </w:rPr>
        <w:t xml:space="preserve"> en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conforme al derecho de las Islas Caimán</w:t>
      </w:r>
      <w:r w:rsidRPr="00AB7B88">
        <w:rPr>
          <w:rStyle w:val="Bodytext52"/>
          <w:rFonts w:ascii="Times New Roman" w:hAnsi="Times New Roman"/>
          <w:color w:val="000000"/>
          <w:sz w:val="20"/>
          <w:vertAlign w:val="superscript"/>
          <w:lang w:eastAsia="es-ES_tradnl"/>
        </w:rPr>
        <w:footnoteReference w:id="143"/>
      </w:r>
      <w:r w:rsidRPr="00AB7B88">
        <w:rPr>
          <w:rStyle w:val="Bodytext52"/>
          <w:rFonts w:ascii="Times New Roman" w:hAnsi="Times New Roman"/>
          <w:color w:val="000000"/>
          <w:sz w:val="20"/>
          <w:lang w:val="es-AR" w:eastAsia="es-ES_tradnl"/>
        </w:rPr>
        <w:t xml:space="preserve">. Por otra parte, la Demandada hace notar que la supuesta Carta de Deseos facultaría a los hijos del Sr. Agarwal a percibir un beneficio derivado del Proyecto Valentines solo previa ocurrencia de un "evento de liquidez", momento hasta el cual únicamente poseerían un </w:t>
      </w:r>
      <w:r w:rsidRPr="00AB7B88">
        <w:rPr>
          <w:rStyle w:val="Bodytext13125pt"/>
          <w:rFonts w:ascii="Times New Roman" w:hAnsi="Times New Roman"/>
          <w:b w:val="0"/>
          <w:smallCaps w:val="0"/>
          <w:color w:val="000000"/>
          <w:sz w:val="20"/>
          <w:lang w:val="es-AR" w:eastAsia="es-ES_tradnl"/>
        </w:rPr>
        <w:t>discretionary interest</w:t>
      </w:r>
      <w:r w:rsidRPr="00AB7B88">
        <w:rPr>
          <w:rStyle w:val="Bodytext52"/>
          <w:rFonts w:ascii="Times New Roman" w:hAnsi="Times New Roman"/>
          <w:color w:val="000000"/>
          <w:sz w:val="20"/>
          <w:lang w:val="es-AR" w:eastAsia="es-ES_tradnl"/>
        </w:rPr>
        <w:t xml:space="preserve"> continuo</w:t>
      </w:r>
      <w:r w:rsidRPr="00AB7B88">
        <w:rPr>
          <w:rStyle w:val="Bodytext52"/>
          <w:rFonts w:ascii="Times New Roman" w:hAnsi="Times New Roman"/>
          <w:color w:val="000000"/>
          <w:sz w:val="20"/>
          <w:vertAlign w:val="superscript"/>
          <w:lang w:eastAsia="es-ES_tradnl"/>
        </w:rPr>
        <w:footnoteReference w:id="144"/>
      </w:r>
      <w:r w:rsidRPr="00AB7B88">
        <w:rPr>
          <w:rStyle w:val="Bodytext52"/>
          <w:rFonts w:ascii="Times New Roman" w:hAnsi="Times New Roman"/>
          <w:color w:val="000000"/>
          <w:sz w:val="20"/>
          <w:lang w:val="es-AR" w:eastAsia="es-ES_tradnl"/>
        </w:rPr>
        <w:t>. Según la Demandada, el Sr. Agarwal, consciente del carácter no vinculante de las cartas de deseos, otorgó la Escritura de Modificación a fin de conferir efecto vinculante a los deseos establecidos en la Carta</w:t>
      </w:r>
      <w:r w:rsidRPr="00AB7B88">
        <w:rPr>
          <w:rStyle w:val="Bodytext52"/>
          <w:rFonts w:ascii="Times New Roman" w:hAnsi="Times New Roman"/>
          <w:color w:val="000000"/>
          <w:sz w:val="20"/>
          <w:vertAlign w:val="superscript"/>
          <w:lang w:eastAsia="es-ES_tradnl"/>
        </w:rPr>
        <w:footnoteReference w:id="145"/>
      </w:r>
      <w:r w:rsidRPr="00AB7B88">
        <w:rPr>
          <w:rStyle w:val="Bodytext52"/>
          <w:rFonts w:ascii="Times New Roman" w:hAnsi="Times New Roman"/>
          <w:color w:val="000000"/>
          <w:sz w:val="20"/>
          <w:lang w:val="es-AR" w:eastAsia="es-ES_tradnl"/>
        </w:rPr>
        <w:t>.</w:t>
      </w:r>
    </w:p>
    <w:p w14:paraId="01A1C75D" w14:textId="77777777" w:rsidR="003B3957" w:rsidRPr="00AB7B88" w:rsidRDefault="003B3957" w:rsidP="000053F7">
      <w:pPr>
        <w:pStyle w:val="Bodytext1"/>
        <w:numPr>
          <w:ilvl w:val="0"/>
          <w:numId w:val="41"/>
        </w:numPr>
        <w:shd w:val="clear" w:color="auto" w:fill="auto"/>
        <w:tabs>
          <w:tab w:val="left" w:pos="749"/>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Además, la Demandada postula que los "deseos" expresados por el Sr. Agarwal en 2008 nunca fueron puestos en práctica en la administración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con lo cual se prueba que la Carta no era más que una indicación de las intenciones del Sr. Agarwal en 2008, las cuales eran indefinidas y no vinculantes</w:t>
      </w:r>
      <w:r w:rsidRPr="00AB7B88">
        <w:rPr>
          <w:rStyle w:val="Bodytext52"/>
          <w:rFonts w:ascii="Times New Roman" w:hAnsi="Times New Roman"/>
          <w:color w:val="000000"/>
          <w:sz w:val="20"/>
          <w:vertAlign w:val="superscript"/>
          <w:lang w:eastAsia="es-ES_tradnl"/>
        </w:rPr>
        <w:footnoteReference w:id="146"/>
      </w:r>
      <w:r w:rsidRPr="00AB7B88">
        <w:rPr>
          <w:rStyle w:val="Bodytext52"/>
          <w:rFonts w:ascii="Times New Roman" w:hAnsi="Times New Roman"/>
          <w:color w:val="000000"/>
          <w:sz w:val="20"/>
          <w:lang w:val="es-AR" w:eastAsia="es-ES_tradnl"/>
        </w:rPr>
        <w:t>: las circunstancias del Sr. Agarwal cambiaron después de que se desplomara el precio mundial del mineral de hierro y, en lugar de observar la Carta de Deseos, las acciones en el Proyecto Valentines se vendieron a Gerald Metals S.A., no para el beneficio exclusivo de los Demandantes y la cuarta hermana, sino para el pago de deudas relacionadas con los bienes en Brasil</w:t>
      </w:r>
      <w:r w:rsidRPr="00AB7B88">
        <w:rPr>
          <w:rStyle w:val="Bodytext52"/>
          <w:rFonts w:ascii="Times New Roman" w:hAnsi="Times New Roman"/>
          <w:color w:val="000000"/>
          <w:sz w:val="20"/>
          <w:vertAlign w:val="superscript"/>
          <w:lang w:eastAsia="es-ES_tradnl"/>
        </w:rPr>
        <w:footnoteReference w:id="147"/>
      </w:r>
      <w:r w:rsidRPr="00AB7B88">
        <w:rPr>
          <w:rStyle w:val="Bodytext52"/>
          <w:rFonts w:ascii="Times New Roman" w:hAnsi="Times New Roman"/>
          <w:color w:val="000000"/>
          <w:sz w:val="20"/>
          <w:lang w:val="es-AR" w:eastAsia="es-ES_tradnl"/>
        </w:rPr>
        <w:t>.</w:t>
      </w:r>
    </w:p>
    <w:p w14:paraId="3669E6FE" w14:textId="77777777" w:rsidR="003B3957" w:rsidRPr="00AB7B88" w:rsidRDefault="003B3957" w:rsidP="000053F7">
      <w:pPr>
        <w:pStyle w:val="Bodytext1"/>
        <w:numPr>
          <w:ilvl w:val="0"/>
          <w:numId w:val="41"/>
        </w:numPr>
        <w:shd w:val="clear" w:color="auto" w:fill="auto"/>
        <w:tabs>
          <w:tab w:val="left" w:pos="73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Incluso si se considerara que la Carta de Deseos era vinculante, en opinión de la Demandada, su redacción confiere beneficios a todos y cada uno de los cuatro hijos del Sr. Agarwal, y no meramente a los tres hijos que actúan como Demandantes en la presente controversia. Como tales, "y si las Demandantes pudieran superar todas las complicaciones jurisdiccionales a las que se enfrentan, no podrían tener derecho al 25% de la inversión que se habría asignado [a la cuarta hija] del Sr. Agarwal</w:t>
      </w:r>
      <w:r w:rsidRPr="00AB7B88">
        <w:rPr>
          <w:rStyle w:val="Bodytext52"/>
          <w:rFonts w:ascii="Times New Roman" w:hAnsi="Times New Roman"/>
          <w:color w:val="000000"/>
          <w:sz w:val="20"/>
          <w:vertAlign w:val="superscript"/>
          <w:lang w:eastAsia="es-ES_tradnl"/>
        </w:rPr>
        <w:footnoteReference w:id="148"/>
      </w:r>
      <w:r w:rsidRPr="00AB7B88">
        <w:rPr>
          <w:rStyle w:val="Bodytext52"/>
          <w:rFonts w:ascii="Times New Roman" w:hAnsi="Times New Roman"/>
          <w:color w:val="000000"/>
          <w:sz w:val="20"/>
          <w:lang w:val="es-AR" w:eastAsia="es-ES_tradnl"/>
        </w:rPr>
        <w:t>".</w:t>
      </w:r>
    </w:p>
    <w:p w14:paraId="17CF7E8F" w14:textId="77777777" w:rsidR="003B3957" w:rsidRPr="00AB7B88" w:rsidRDefault="003B3957" w:rsidP="000053F7">
      <w:pPr>
        <w:pStyle w:val="Bodytext1"/>
        <w:numPr>
          <w:ilvl w:val="0"/>
          <w:numId w:val="41"/>
        </w:numPr>
        <w:shd w:val="clear" w:color="auto" w:fill="auto"/>
        <w:tabs>
          <w:tab w:val="left" w:pos="753"/>
        </w:tabs>
        <w:spacing w:before="380" w:line="360" w:lineRule="auto"/>
        <w:ind w:left="522" w:hanging="522"/>
        <w:jc w:val="both"/>
        <w:rPr>
          <w:sz w:val="20"/>
          <w:lang w:val="es-AR"/>
        </w:rPr>
      </w:pPr>
      <w:r w:rsidRPr="00AB7B88">
        <w:rPr>
          <w:rStyle w:val="Bodytext13125pt"/>
          <w:rFonts w:ascii="Times New Roman" w:hAnsi="Times New Roman"/>
          <w:b w:val="0"/>
          <w:smallCaps w:val="0"/>
          <w:color w:val="000000"/>
          <w:sz w:val="20"/>
          <w:lang w:val="es-AR" w:eastAsia="es-ES_tradnl"/>
        </w:rPr>
        <w:t>Conforme al TBI y el derecho internacional general:</w:t>
      </w:r>
      <w:r w:rsidRPr="00AB7B88">
        <w:rPr>
          <w:rStyle w:val="Bodytext52"/>
          <w:rFonts w:ascii="Times New Roman" w:hAnsi="Times New Roman"/>
          <w:color w:val="000000"/>
          <w:sz w:val="20"/>
          <w:lang w:val="es-AR" w:eastAsia="es-ES_tradnl"/>
        </w:rPr>
        <w:t xml:space="preserve"> la Demandada sostiene que incluso si se determinase la inaplicabilidad del derecho de </w:t>
      </w:r>
      <w:r w:rsidR="004D2026" w:rsidRPr="00AB7B88">
        <w:rPr>
          <w:rStyle w:val="Bodytext13125pt"/>
          <w:rFonts w:ascii="Times New Roman" w:hAnsi="Times New Roman"/>
          <w:b w:val="0"/>
          <w:smallCaps w:val="0"/>
          <w:color w:val="000000"/>
          <w:sz w:val="20"/>
          <w:lang w:val="es-AR" w:eastAsia="es-ES_tradnl"/>
        </w:rPr>
        <w:t>Trusts</w:t>
      </w:r>
      <w:r w:rsidRPr="00AB7B88">
        <w:rPr>
          <w:rStyle w:val="Bodytext52"/>
          <w:rFonts w:ascii="Times New Roman" w:hAnsi="Times New Roman"/>
          <w:color w:val="000000"/>
          <w:sz w:val="20"/>
          <w:lang w:val="es-AR" w:eastAsia="es-ES_tradnl"/>
        </w:rPr>
        <w:t xml:space="preserve"> de las Islas Caimán, los Demandantes no tienen ni son titulares de las supuestas "inversiones" en virtud del TBI o el derecho internacional. La Demandada sostiene que, dado que los Demandantes eran solo </w:t>
      </w:r>
      <w:r w:rsidRPr="00AB7B88">
        <w:rPr>
          <w:rStyle w:val="Bodytext13125pt"/>
          <w:rFonts w:ascii="Times New Roman" w:hAnsi="Times New Roman"/>
          <w:b w:val="0"/>
          <w:smallCaps w:val="0"/>
          <w:color w:val="000000"/>
          <w:sz w:val="20"/>
          <w:lang w:val="es-AR" w:eastAsia="es-ES_tradnl"/>
        </w:rPr>
        <w:t>discretionary beneficiaries</w:t>
      </w:r>
      <w:r w:rsidRPr="00AB7B88">
        <w:rPr>
          <w:rStyle w:val="Bodytext52"/>
          <w:rFonts w:ascii="Times New Roman" w:hAnsi="Times New Roman"/>
          <w:color w:val="000000"/>
          <w:sz w:val="20"/>
          <w:lang w:val="es-AR" w:eastAsia="es-ES_tradnl"/>
        </w:rPr>
        <w:t xml:space="preserve">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se deben desestimar sus pretensiones en virtud de principios generales del derecho internacional, así como en virtud del TBI, pues "un inversionista </w:t>
      </w:r>
      <w:r w:rsidRPr="00AB7B88">
        <w:rPr>
          <w:rStyle w:val="Bodytext52"/>
          <w:rFonts w:ascii="Times New Roman" w:hAnsi="Times New Roman"/>
          <w:color w:val="000000"/>
          <w:sz w:val="20"/>
          <w:lang w:val="es-AR" w:eastAsia="es-ES_tradnl"/>
        </w:rPr>
        <w:lastRenderedPageBreak/>
        <w:t>solo puede reclamar los beneficios de los bienes que efectivamente son suyos</w:t>
      </w:r>
      <w:r w:rsidRPr="00AB7B88">
        <w:rPr>
          <w:rStyle w:val="Bodytext52"/>
          <w:rFonts w:ascii="Times New Roman" w:hAnsi="Times New Roman"/>
          <w:color w:val="000000"/>
          <w:sz w:val="20"/>
          <w:vertAlign w:val="superscript"/>
          <w:lang w:eastAsia="es-ES_tradnl"/>
        </w:rPr>
        <w:footnoteReference w:id="149"/>
      </w:r>
      <w:r w:rsidRPr="00AB7B88">
        <w:rPr>
          <w:rStyle w:val="Bodytext52"/>
          <w:rFonts w:ascii="Times New Roman" w:hAnsi="Times New Roman"/>
          <w:color w:val="000000"/>
          <w:sz w:val="20"/>
          <w:lang w:val="es-AR" w:eastAsia="es-ES_tradnl"/>
        </w:rPr>
        <w:t>". La Demandada objeta el argumento de los Demandantes según el cual el TBI no define "inversión" en términos de "propiedad" o "control</w:t>
      </w:r>
      <w:r w:rsidRPr="00AB7B88">
        <w:rPr>
          <w:rStyle w:val="Bodytext52"/>
          <w:rFonts w:ascii="Times New Roman" w:hAnsi="Times New Roman"/>
          <w:color w:val="000000"/>
          <w:sz w:val="20"/>
          <w:vertAlign w:val="superscript"/>
          <w:lang w:eastAsia="es-ES_tradnl"/>
        </w:rPr>
        <w:footnoteReference w:id="150"/>
      </w:r>
      <w:r w:rsidRPr="00AB7B88">
        <w:rPr>
          <w:rStyle w:val="Bodytext52"/>
          <w:rFonts w:ascii="Times New Roman" w:hAnsi="Times New Roman"/>
          <w:color w:val="000000"/>
          <w:sz w:val="20"/>
          <w:lang w:val="es-AR" w:eastAsia="es-ES_tradnl"/>
        </w:rPr>
        <w:t>".</w:t>
      </w:r>
    </w:p>
    <w:p w14:paraId="0E37028D" w14:textId="77777777" w:rsidR="003B3957" w:rsidRPr="00AB7B88" w:rsidRDefault="003B3957" w:rsidP="000053F7">
      <w:pPr>
        <w:pStyle w:val="Bodytext1"/>
        <w:numPr>
          <w:ilvl w:val="0"/>
          <w:numId w:val="41"/>
        </w:numPr>
        <w:shd w:val="clear" w:color="auto" w:fill="auto"/>
        <w:tabs>
          <w:tab w:val="left" w:pos="73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La Demandada también se opone a la postura de los Demandantes según la cual estos, en calidad de </w:t>
      </w:r>
      <w:r w:rsidRPr="00AB7B88">
        <w:rPr>
          <w:rStyle w:val="Bodytext13125pt"/>
          <w:rFonts w:ascii="Times New Roman" w:hAnsi="Times New Roman"/>
          <w:b w:val="0"/>
          <w:smallCaps w:val="0"/>
          <w:color w:val="000000"/>
          <w:sz w:val="20"/>
          <w:lang w:val="es-AR" w:eastAsia="es-ES_tradnl"/>
        </w:rPr>
        <w:t>discretionary beneficiaries,</w:t>
      </w:r>
      <w:r w:rsidRPr="00AB7B88">
        <w:rPr>
          <w:rStyle w:val="Bodytext52"/>
          <w:rFonts w:ascii="Times New Roman" w:hAnsi="Times New Roman"/>
          <w:color w:val="000000"/>
          <w:sz w:val="20"/>
          <w:lang w:val="es-AR" w:eastAsia="es-ES_tradnl"/>
        </w:rPr>
        <w:t xml:space="preserve"> eran "verdaderas partes interesadas" </w:t>
      </w:r>
      <w:r w:rsidRPr="00AB7B88">
        <w:rPr>
          <w:rStyle w:val="Bodytext13125pt"/>
          <w:rFonts w:ascii="Times New Roman" w:hAnsi="Times New Roman"/>
          <w:b w:val="0"/>
          <w:smallCaps w:val="0"/>
          <w:color w:val="000000"/>
          <w:sz w:val="20"/>
          <w:lang w:val="es-AR" w:eastAsia="es-ES_tradnl"/>
        </w:rPr>
        <w:t>('real parties in interest',</w:t>
      </w:r>
      <w:r w:rsidRPr="00AB7B88">
        <w:rPr>
          <w:rStyle w:val="Bodytext52"/>
          <w:rFonts w:ascii="Times New Roman" w:hAnsi="Times New Roman"/>
          <w:color w:val="000000"/>
          <w:sz w:val="20"/>
          <w:lang w:val="es-AR" w:eastAsia="es-ES_tradnl"/>
        </w:rPr>
        <w:t xml:space="preserve"> o titulares de un interés legítimo) con derecho a que se extiendan las protecciones del TBI a los bienes del </w:t>
      </w:r>
      <w:r w:rsidRPr="00AB7B88">
        <w:rPr>
          <w:rStyle w:val="Bodytext13125pt"/>
          <w:rFonts w:ascii="Times New Roman" w:hAnsi="Times New Roman"/>
          <w:b w:val="0"/>
          <w:smallCaps w:val="0"/>
          <w:color w:val="000000"/>
          <w:sz w:val="20"/>
          <w:lang w:val="es-AR" w:eastAsia="es-ES_tradnl"/>
        </w:rPr>
        <w:t>Trus</w:t>
      </w:r>
      <w:r w:rsidRPr="002040CC">
        <w:rPr>
          <w:rStyle w:val="Bodytext13125pt"/>
          <w:rFonts w:ascii="Times New Roman" w:hAnsi="Times New Roman"/>
          <w:b w:val="0"/>
          <w:smallCaps w:val="0"/>
          <w:color w:val="000000"/>
          <w:sz w:val="20"/>
          <w:lang w:val="es-AR" w:eastAsia="es-ES_tradnl"/>
        </w:rPr>
        <w:t>t</w:t>
      </w:r>
      <w:r w:rsidRPr="002040CC">
        <w:rPr>
          <w:rStyle w:val="Bodytext13125pt"/>
          <w:rFonts w:ascii="Times New Roman" w:hAnsi="Times New Roman"/>
          <w:b w:val="0"/>
          <w:i w:val="0"/>
          <w:smallCaps w:val="0"/>
          <w:color w:val="000000"/>
          <w:sz w:val="20"/>
          <w:vertAlign w:val="superscript"/>
          <w:lang w:eastAsia="es-ES_tradnl"/>
        </w:rPr>
        <w:footnoteReference w:id="151"/>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La Demandada propone que el término "titulares de un interés legítimo" solo se aplica a los </w:t>
      </w:r>
      <w:r w:rsidRPr="00AB7B88">
        <w:rPr>
          <w:rStyle w:val="Bodytext13125pt"/>
          <w:rFonts w:ascii="Times New Roman" w:hAnsi="Times New Roman"/>
          <w:b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de un bien, y no a partes con </w:t>
      </w:r>
      <w:r w:rsidRPr="00AB7B88">
        <w:rPr>
          <w:rStyle w:val="Bodytext13125pt"/>
          <w:rFonts w:ascii="Times New Roman" w:hAnsi="Times New Roman"/>
          <w:b w:val="0"/>
          <w:smallCaps w:val="0"/>
          <w:color w:val="000000"/>
          <w:sz w:val="20"/>
          <w:lang w:val="es-AR" w:eastAsia="es-ES_tradnl"/>
        </w:rPr>
        <w:t>"discretionaryinterests"</w:t>
      </w:r>
      <w:r w:rsidRPr="00AB7B88">
        <w:rPr>
          <w:rStyle w:val="Bodytext52"/>
          <w:rFonts w:ascii="Times New Roman" w:hAnsi="Times New Roman"/>
          <w:color w:val="000000"/>
          <w:sz w:val="20"/>
          <w:lang w:val="es-AR" w:eastAsia="es-ES_tradnl"/>
        </w:rPr>
        <w:t xml:space="preserve"> en un bien</w:t>
      </w:r>
      <w:r w:rsidRPr="00AB7B88">
        <w:rPr>
          <w:rStyle w:val="Bodytext52"/>
          <w:rFonts w:ascii="Times New Roman" w:hAnsi="Times New Roman"/>
          <w:color w:val="000000"/>
          <w:sz w:val="20"/>
          <w:vertAlign w:val="superscript"/>
          <w:lang w:eastAsia="es-ES_tradnl"/>
        </w:rPr>
        <w:footnoteReference w:id="152"/>
      </w:r>
      <w:r w:rsidRPr="00AB7B88">
        <w:rPr>
          <w:rStyle w:val="Bodytext52"/>
          <w:rFonts w:ascii="Times New Roman" w:hAnsi="Times New Roman"/>
          <w:color w:val="000000"/>
          <w:sz w:val="20"/>
          <w:lang w:val="es-AR" w:eastAsia="es-ES_tradnl"/>
        </w:rPr>
        <w:t xml:space="preserve">. Si en realidad "los titulares de un interés legítimo" pudiesen ser meros </w:t>
      </w:r>
      <w:r w:rsidRPr="00AB7B88">
        <w:rPr>
          <w:rStyle w:val="Bodytext13125pt"/>
          <w:rFonts w:ascii="Times New Roman" w:hAnsi="Times New Roman"/>
          <w:b w:val="0"/>
          <w:smallCaps w:val="0"/>
          <w:color w:val="000000"/>
          <w:sz w:val="20"/>
          <w:lang w:val="es-AR" w:eastAsia="es-ES_tradnl"/>
        </w:rPr>
        <w:t xml:space="preserve">discretionary beneficiaries, </w:t>
      </w:r>
      <w:r w:rsidRPr="00AB7B88">
        <w:rPr>
          <w:rStyle w:val="Bodytext52"/>
          <w:rFonts w:ascii="Times New Roman" w:hAnsi="Times New Roman"/>
          <w:color w:val="000000"/>
          <w:sz w:val="20"/>
          <w:lang w:val="es-AR" w:eastAsia="es-ES_tradnl"/>
        </w:rPr>
        <w:t xml:space="preserve">entonces la cuarta hija del Sr. Agarwal, también designada </w:t>
      </w:r>
      <w:r w:rsidRPr="00AB7B88">
        <w:rPr>
          <w:rStyle w:val="Bodytext13125pt"/>
          <w:rFonts w:ascii="Times New Roman" w:hAnsi="Times New Roman"/>
          <w:b w:val="0"/>
          <w:smallCaps w:val="0"/>
          <w:color w:val="000000"/>
          <w:sz w:val="20"/>
          <w:lang w:val="es-AR" w:eastAsia="es-ES_tradnl"/>
        </w:rPr>
        <w:t>discretionary beneficiary</w:t>
      </w:r>
      <w:r w:rsidRPr="00AB7B88">
        <w:rPr>
          <w:rStyle w:val="Bodytext52"/>
          <w:rFonts w:ascii="Times New Roman" w:hAnsi="Times New Roman"/>
          <w:color w:val="000000"/>
          <w:sz w:val="20"/>
          <w:lang w:val="es-AR" w:eastAsia="es-ES_tradnl"/>
        </w:rPr>
        <w:t xml:space="preserve"> antes del otorgamiento de la Escritura de Modificación, constituiría una "titular de un interés legítimo</w:t>
      </w:r>
      <w:r w:rsidRPr="00AB7B88">
        <w:rPr>
          <w:rStyle w:val="Bodytext52"/>
          <w:rFonts w:ascii="Times New Roman" w:hAnsi="Times New Roman"/>
          <w:color w:val="000000"/>
          <w:sz w:val="20"/>
          <w:vertAlign w:val="superscript"/>
          <w:lang w:eastAsia="es-ES_tradnl"/>
        </w:rPr>
        <w:footnoteReference w:id="153"/>
      </w:r>
      <w:r w:rsidRPr="00AB7B88">
        <w:rPr>
          <w:rStyle w:val="Bodytext52"/>
          <w:rFonts w:ascii="Times New Roman" w:hAnsi="Times New Roman"/>
          <w:color w:val="000000"/>
          <w:sz w:val="20"/>
          <w:lang w:val="es-AR" w:eastAsia="es-ES_tradnl"/>
        </w:rPr>
        <w:t>".</w:t>
      </w:r>
    </w:p>
    <w:p w14:paraId="6F69A373" w14:textId="77777777" w:rsidR="003B3957" w:rsidRPr="00AB7B88" w:rsidRDefault="003B3957" w:rsidP="000053F7">
      <w:pPr>
        <w:pStyle w:val="Bodytext1"/>
        <w:numPr>
          <w:ilvl w:val="0"/>
          <w:numId w:val="41"/>
        </w:numPr>
        <w:shd w:val="clear" w:color="auto" w:fill="auto"/>
        <w:tabs>
          <w:tab w:val="left" w:pos="738"/>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Según la Demandada, si fuese posible considerar a cualquier parte una "titular de un interés legítimo", esta sería el Sr. Agarwal</w:t>
      </w:r>
      <w:r w:rsidRPr="00AB7B88">
        <w:rPr>
          <w:rStyle w:val="Bodytext52"/>
          <w:rFonts w:ascii="Times New Roman" w:hAnsi="Times New Roman"/>
          <w:color w:val="000000"/>
          <w:sz w:val="20"/>
          <w:vertAlign w:val="superscript"/>
          <w:lang w:eastAsia="es-ES_tradnl"/>
        </w:rPr>
        <w:footnoteReference w:id="154"/>
      </w:r>
      <w:r w:rsidRPr="00AB7B88">
        <w:rPr>
          <w:rStyle w:val="Bodytext52"/>
          <w:rFonts w:ascii="Times New Roman" w:hAnsi="Times New Roman"/>
          <w:color w:val="000000"/>
          <w:sz w:val="20"/>
          <w:lang w:val="es-AR" w:eastAsia="es-ES_tradnl"/>
        </w:rPr>
        <w:t>, un nacional indio sin capacidad para invocar las protecciones al amparo del TBI</w:t>
      </w:r>
      <w:r w:rsidRPr="00AB7B88">
        <w:rPr>
          <w:rStyle w:val="Bodytext52"/>
          <w:rFonts w:ascii="Times New Roman" w:hAnsi="Times New Roman"/>
          <w:color w:val="000000"/>
          <w:sz w:val="20"/>
          <w:vertAlign w:val="superscript"/>
          <w:lang w:eastAsia="es-ES_tradnl"/>
        </w:rPr>
        <w:footnoteReference w:id="155"/>
      </w:r>
      <w:r w:rsidRPr="00AB7B88">
        <w:rPr>
          <w:rStyle w:val="Bodytext52"/>
          <w:rFonts w:ascii="Times New Roman" w:hAnsi="Times New Roman"/>
          <w:color w:val="000000"/>
          <w:sz w:val="20"/>
          <w:lang w:val="es-AR" w:eastAsia="es-ES_tradnl"/>
        </w:rPr>
        <w:t xml:space="preserve">. La Demandada observa que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adquirió los bienes de la cadena de empresas asociadas con el Proyecto Valentines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Devi", otro de los </w:t>
      </w:r>
      <w:r w:rsidR="004D2026" w:rsidRPr="00AB7B88">
        <w:rPr>
          <w:rStyle w:val="Bodytext13125pt"/>
          <w:rFonts w:ascii="Times New Roman" w:hAnsi="Times New Roman"/>
          <w:b w:val="0"/>
          <w:smallCaps w:val="0"/>
          <w:color w:val="000000"/>
          <w:sz w:val="20"/>
          <w:lang w:val="es-AR" w:eastAsia="es-ES_tradnl"/>
        </w:rPr>
        <w:t>Trusts</w:t>
      </w:r>
      <w:r w:rsidRPr="00AB7B88">
        <w:rPr>
          <w:rStyle w:val="Bodytext52"/>
          <w:rFonts w:ascii="Times New Roman" w:hAnsi="Times New Roman"/>
          <w:color w:val="000000"/>
          <w:sz w:val="20"/>
          <w:lang w:val="es-AR" w:eastAsia="es-ES_tradnl"/>
        </w:rPr>
        <w:t xml:space="preserve"> del Sr. Agarwal. La Demandada destaca que la contraprestación que respalda esta compra fue una "deuda especializada" "igual al valor de mercado" de las acciones, "reembolsable en su totalidad o en parte a solicitud del Prestamista a los Prestatarios", un derecho que se asignó al Sr. Agarwal</w:t>
      </w:r>
      <w:r w:rsidRPr="00AB7B88">
        <w:rPr>
          <w:rStyle w:val="Bodytext52"/>
          <w:rFonts w:ascii="Times New Roman" w:hAnsi="Times New Roman"/>
          <w:color w:val="000000"/>
          <w:sz w:val="20"/>
          <w:vertAlign w:val="superscript"/>
          <w:lang w:eastAsia="es-ES_tradnl"/>
        </w:rPr>
        <w:footnoteReference w:id="156"/>
      </w:r>
      <w:r w:rsidRPr="00AB7B88">
        <w:rPr>
          <w:rStyle w:val="Bodytext52"/>
          <w:rFonts w:ascii="Times New Roman" w:hAnsi="Times New Roman"/>
          <w:color w:val="000000"/>
          <w:sz w:val="20"/>
          <w:lang w:val="es-AR" w:eastAsia="es-ES_tradnl"/>
        </w:rPr>
        <w:t xml:space="preserve">. En opinión de la Demandada, esto indica que, en cualquier momento, el Sr. Agarwal podría haber ejercido el derecho al reembolso de más de £164 millones en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antes de que se realizara cualquier distribución correspondiente a los Demandantes y su cuarta hermana</w:t>
      </w:r>
      <w:r w:rsidRPr="00AB7B88">
        <w:rPr>
          <w:rStyle w:val="Bodytext52"/>
          <w:rFonts w:ascii="Times New Roman" w:hAnsi="Times New Roman"/>
          <w:color w:val="000000"/>
          <w:sz w:val="20"/>
          <w:vertAlign w:val="superscript"/>
          <w:lang w:eastAsia="es-ES_tradnl"/>
        </w:rPr>
        <w:footnoteReference w:id="157"/>
      </w:r>
      <w:r w:rsidRPr="00AB7B88">
        <w:rPr>
          <w:rStyle w:val="Bodytext52"/>
          <w:rFonts w:ascii="Times New Roman" w:hAnsi="Times New Roman"/>
          <w:color w:val="000000"/>
          <w:sz w:val="20"/>
          <w:lang w:val="es-AR" w:eastAsia="es-ES_tradnl"/>
        </w:rPr>
        <w:t>.</w:t>
      </w:r>
    </w:p>
    <w:p w14:paraId="42B076E0" w14:textId="77777777" w:rsidR="003B3957" w:rsidRPr="00AB7B88" w:rsidRDefault="003B3957" w:rsidP="000053F7">
      <w:pPr>
        <w:pStyle w:val="Bodytext1"/>
        <w:numPr>
          <w:ilvl w:val="0"/>
          <w:numId w:val="41"/>
        </w:numPr>
        <w:shd w:val="clear" w:color="auto" w:fill="auto"/>
        <w:tabs>
          <w:tab w:val="left" w:pos="73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Finalmente, la Demandada sostiene que unos "intereses en un </w:t>
      </w:r>
      <w:r w:rsidRPr="00AB7B88">
        <w:rPr>
          <w:rStyle w:val="Bodytext13125pt"/>
          <w:rFonts w:ascii="Times New Roman" w:hAnsi="Times New Roman"/>
          <w:b w:val="0"/>
          <w:smallCaps w:val="0"/>
          <w:color w:val="000000"/>
          <w:sz w:val="20"/>
          <w:lang w:val="es-AR" w:eastAsia="es-ES_tradnl"/>
        </w:rPr>
        <w:t>discretionary trust"</w:t>
      </w:r>
      <w:r w:rsidRPr="00AB7B88">
        <w:rPr>
          <w:rStyle w:val="Bodytext52"/>
          <w:rFonts w:ascii="Times New Roman" w:hAnsi="Times New Roman"/>
          <w:color w:val="000000"/>
          <w:sz w:val="20"/>
          <w:lang w:val="es-AR" w:eastAsia="es-ES_tradnl"/>
        </w:rPr>
        <w:t xml:space="preserve"> no pueden constituir </w:t>
      </w:r>
      <w:r w:rsidRPr="00AB7B88">
        <w:rPr>
          <w:rStyle w:val="Bodytext52"/>
          <w:rFonts w:ascii="Times New Roman" w:hAnsi="Times New Roman"/>
          <w:color w:val="000000"/>
          <w:sz w:val="20"/>
          <w:lang w:val="es-AR" w:eastAsia="es-ES_tradnl"/>
        </w:rPr>
        <w:lastRenderedPageBreak/>
        <w:t>"inversiones" protegidas, o una "clase de bien" o "derechos a fondos o prestaciones contractuales que tenían un valor financiero" al amparo del TBI, conforme alegan los Demandantes</w:t>
      </w:r>
      <w:r w:rsidRPr="00AB7B88">
        <w:rPr>
          <w:rStyle w:val="Bodytext52"/>
          <w:rFonts w:ascii="Times New Roman" w:hAnsi="Times New Roman"/>
          <w:color w:val="000000"/>
          <w:sz w:val="20"/>
          <w:vertAlign w:val="superscript"/>
          <w:lang w:eastAsia="es-ES_tradnl"/>
        </w:rPr>
        <w:footnoteReference w:id="158"/>
      </w:r>
      <w:r w:rsidRPr="00AB7B88">
        <w:rPr>
          <w:rStyle w:val="Bodytext52"/>
          <w:rFonts w:ascii="Times New Roman" w:hAnsi="Times New Roman"/>
          <w:color w:val="000000"/>
          <w:sz w:val="20"/>
          <w:lang w:val="es-AR" w:eastAsia="es-ES_tradnl"/>
        </w:rPr>
        <w:t xml:space="preserve">, viendo que: i) un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no es un contrato de valor financiero; y ii) en calidad de </w:t>
      </w:r>
      <w:r w:rsidRPr="00AB7B88">
        <w:rPr>
          <w:rStyle w:val="Bodytext13125pt"/>
          <w:rFonts w:ascii="Times New Roman" w:hAnsi="Times New Roman"/>
          <w:b w:val="0"/>
          <w:smallCaps w:val="0"/>
          <w:color w:val="000000"/>
          <w:sz w:val="20"/>
          <w:lang w:val="es-AR" w:eastAsia="es-ES_tradnl"/>
        </w:rPr>
        <w:t>discretionary beneficiaries,</w:t>
      </w:r>
      <w:r w:rsidRPr="00AB7B88">
        <w:rPr>
          <w:rStyle w:val="Bodytext52"/>
          <w:rFonts w:ascii="Times New Roman" w:hAnsi="Times New Roman"/>
          <w:color w:val="000000"/>
          <w:sz w:val="20"/>
          <w:lang w:val="es-AR" w:eastAsia="es-ES_tradnl"/>
        </w:rPr>
        <w:t xml:space="preserve"> los Demandantes no tienen "derechos a fondos" que se deriven del </w:t>
      </w:r>
      <w:r w:rsidRPr="00AB7B88">
        <w:rPr>
          <w:rStyle w:val="Bodytext13125pt"/>
          <w:rFonts w:ascii="Times New Roman" w:hAnsi="Times New Roman"/>
          <w:b w:val="0"/>
          <w:smallCaps w:val="0"/>
          <w:color w:val="000000"/>
          <w:sz w:val="20"/>
          <w:lang w:val="es-AR" w:eastAsia="es-ES_tradnl"/>
        </w:rPr>
        <w:t>Trust</w:t>
      </w:r>
      <w:r w:rsidRPr="00AB7B88">
        <w:rPr>
          <w:rStyle w:val="Bodytext13125pt"/>
          <w:rFonts w:ascii="Times New Roman" w:hAnsi="Times New Roman"/>
          <w:b w:val="0"/>
          <w:smallCaps w:val="0"/>
          <w:color w:val="000000"/>
          <w:sz w:val="20"/>
          <w:vertAlign w:val="superscript"/>
          <w:lang w:eastAsia="es-ES_tradnl"/>
        </w:rPr>
        <w:footnoteReference w:id="159"/>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Según la Demandada, para que una inversión se considere como tal, un bien debe habilitar a una parte a recibir beneficios específicos, cuan</w:t>
      </w:r>
      <w:r w:rsidRPr="00AB7B88">
        <w:rPr>
          <w:rStyle w:val="Bodytext41"/>
          <w:rFonts w:ascii="Times New Roman" w:hAnsi="Times New Roman"/>
          <w:color w:val="000000"/>
          <w:sz w:val="20"/>
          <w:lang w:val="es-AR" w:eastAsia="es-ES_tradnl"/>
        </w:rPr>
        <w:t>tifi</w:t>
      </w:r>
      <w:r w:rsidRPr="00AB7B88">
        <w:rPr>
          <w:rStyle w:val="Bodytext52"/>
          <w:rFonts w:ascii="Times New Roman" w:hAnsi="Times New Roman"/>
          <w:color w:val="000000"/>
          <w:sz w:val="20"/>
          <w:lang w:val="es-AR" w:eastAsia="es-ES_tradnl"/>
        </w:rPr>
        <w:t>cables y definidos que sean presentes y no sujetos a condición</w:t>
      </w:r>
      <w:r w:rsidRPr="00AB7B88">
        <w:rPr>
          <w:rStyle w:val="Bodytext52"/>
          <w:rFonts w:ascii="Times New Roman" w:hAnsi="Times New Roman"/>
          <w:color w:val="000000"/>
          <w:sz w:val="20"/>
          <w:vertAlign w:val="superscript"/>
          <w:lang w:eastAsia="es-ES_tradnl"/>
        </w:rPr>
        <w:footnoteReference w:id="160"/>
      </w:r>
      <w:r w:rsidRPr="00AB7B88">
        <w:rPr>
          <w:rStyle w:val="Bodytext52"/>
          <w:rFonts w:ascii="Times New Roman" w:hAnsi="Times New Roman"/>
          <w:color w:val="000000"/>
          <w:sz w:val="20"/>
          <w:lang w:val="es-AR" w:eastAsia="es-ES_tradnl"/>
        </w:rPr>
        <w:t>. Además, el bien debe ser susceptible de ser: i) transferido o cedido a un tercero</w:t>
      </w:r>
      <w:r w:rsidRPr="00AB7B88">
        <w:rPr>
          <w:rStyle w:val="Bodytext52"/>
          <w:rFonts w:ascii="Times New Roman" w:hAnsi="Times New Roman"/>
          <w:color w:val="000000"/>
          <w:sz w:val="20"/>
          <w:vertAlign w:val="superscript"/>
          <w:lang w:eastAsia="es-ES_tradnl"/>
        </w:rPr>
        <w:footnoteReference w:id="161"/>
      </w:r>
      <w:r w:rsidRPr="00AB7B88">
        <w:rPr>
          <w:rStyle w:val="Bodytext52"/>
          <w:rFonts w:ascii="Times New Roman" w:hAnsi="Times New Roman"/>
          <w:color w:val="000000"/>
          <w:sz w:val="20"/>
          <w:lang w:val="es-AR" w:eastAsia="es-ES_tradnl"/>
        </w:rPr>
        <w:t>; ii) utilizado para satisfacer deudas o acuerdos</w:t>
      </w:r>
      <w:r w:rsidRPr="00AB7B88">
        <w:rPr>
          <w:rStyle w:val="Bodytext52"/>
          <w:rFonts w:ascii="Times New Roman" w:hAnsi="Times New Roman"/>
          <w:color w:val="000000"/>
          <w:sz w:val="20"/>
          <w:vertAlign w:val="superscript"/>
          <w:lang w:eastAsia="es-ES_tradnl"/>
        </w:rPr>
        <w:footnoteReference w:id="162"/>
      </w:r>
      <w:r w:rsidRPr="00AB7B88">
        <w:rPr>
          <w:rStyle w:val="Bodytext52"/>
          <w:rFonts w:ascii="Times New Roman" w:hAnsi="Times New Roman"/>
          <w:color w:val="000000"/>
          <w:sz w:val="20"/>
          <w:lang w:val="es-AR" w:eastAsia="es-ES_tradnl"/>
        </w:rPr>
        <w:t>; iii) gravado</w:t>
      </w:r>
      <w:r w:rsidRPr="00AB7B88">
        <w:rPr>
          <w:rStyle w:val="Bodytext52"/>
          <w:rFonts w:ascii="Times New Roman" w:hAnsi="Times New Roman"/>
          <w:color w:val="000000"/>
          <w:sz w:val="20"/>
          <w:vertAlign w:val="superscript"/>
          <w:lang w:eastAsia="es-ES_tradnl"/>
        </w:rPr>
        <w:footnoteReference w:id="163"/>
      </w:r>
      <w:r w:rsidRPr="00AB7B88">
        <w:rPr>
          <w:rStyle w:val="Bodytext52"/>
          <w:rFonts w:ascii="Times New Roman" w:hAnsi="Times New Roman"/>
          <w:color w:val="000000"/>
          <w:sz w:val="20"/>
          <w:lang w:val="es-AR" w:eastAsia="es-ES_tradnl"/>
        </w:rPr>
        <w:t>; o iv) heredado en caso de fallecimiento</w:t>
      </w:r>
      <w:r w:rsidRPr="00AB7B88">
        <w:rPr>
          <w:rStyle w:val="Bodytext52"/>
          <w:rFonts w:ascii="Times New Roman" w:hAnsi="Times New Roman"/>
          <w:color w:val="000000"/>
          <w:sz w:val="20"/>
          <w:vertAlign w:val="superscript"/>
          <w:lang w:eastAsia="es-ES_tradnl"/>
        </w:rPr>
        <w:footnoteReference w:id="164"/>
      </w:r>
      <w:r w:rsidRPr="00AB7B88">
        <w:rPr>
          <w:rStyle w:val="Bodytext52"/>
          <w:rFonts w:ascii="Times New Roman" w:hAnsi="Times New Roman"/>
          <w:color w:val="000000"/>
          <w:sz w:val="20"/>
          <w:lang w:val="es-AR" w:eastAsia="es-ES_tradnl"/>
        </w:rPr>
        <w:t>.</w:t>
      </w:r>
    </w:p>
    <w:p w14:paraId="06CD5236" w14:textId="77777777" w:rsidR="003B3957" w:rsidRPr="00AB7B88" w:rsidRDefault="003B3957" w:rsidP="00AC5195">
      <w:pPr>
        <w:pStyle w:val="Heading20"/>
        <w:keepNext/>
        <w:keepLines/>
        <w:numPr>
          <w:ilvl w:val="0"/>
          <w:numId w:val="45"/>
        </w:numPr>
        <w:shd w:val="clear" w:color="auto" w:fill="auto"/>
        <w:tabs>
          <w:tab w:val="left" w:pos="340"/>
        </w:tabs>
        <w:spacing w:before="380" w:after="0" w:line="360" w:lineRule="auto"/>
        <w:ind w:right="260" w:firstLine="0"/>
        <w:jc w:val="left"/>
        <w:rPr>
          <w:rFonts w:ascii="Times New Roman" w:hAnsi="Times New Roman"/>
          <w:b w:val="0"/>
          <w:sz w:val="20"/>
          <w:lang w:val="es-AR"/>
        </w:rPr>
      </w:pPr>
      <w:bookmarkStart w:id="74" w:name="bookmark76"/>
      <w:bookmarkStart w:id="75" w:name="bookmark77"/>
      <w:r w:rsidRPr="00AB7B88">
        <w:rPr>
          <w:rStyle w:val="Heading2"/>
          <w:rFonts w:ascii="Times New Roman" w:hAnsi="Times New Roman"/>
          <w:b/>
          <w:color w:val="000000"/>
          <w:sz w:val="20"/>
          <w:lang w:val="es-AR" w:eastAsia="es-ES_tradnl"/>
        </w:rPr>
        <w:t>La relación jurídica entre los Demandantes y las "inversiones" después del 1 de agosto de 2016</w:t>
      </w:r>
      <w:bookmarkEnd w:id="74"/>
      <w:bookmarkEnd w:id="75"/>
    </w:p>
    <w:p w14:paraId="0DD78523" w14:textId="77777777" w:rsidR="003B3957" w:rsidRPr="00AB7B88" w:rsidRDefault="003B3957" w:rsidP="000053F7">
      <w:pPr>
        <w:pStyle w:val="Bodytext1"/>
        <w:numPr>
          <w:ilvl w:val="0"/>
          <w:numId w:val="41"/>
        </w:numPr>
        <w:shd w:val="clear" w:color="auto" w:fill="auto"/>
        <w:tabs>
          <w:tab w:val="left" w:pos="73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En primer lugar, la Demandada observa que no fue hasta el 1 de agosto de 2016, con el otorgamiento de la Escritura de Modificación, que los Demandantes obtuvieron un "interés inmediato, absoluto e incondicional sobre los Ingresos Residuales en partes iguales</w:t>
      </w:r>
      <w:r w:rsidRPr="00AB7B88">
        <w:rPr>
          <w:rStyle w:val="Bodytext52"/>
          <w:rFonts w:ascii="Times New Roman" w:hAnsi="Times New Roman"/>
          <w:color w:val="000000"/>
          <w:sz w:val="20"/>
          <w:vertAlign w:val="superscript"/>
          <w:lang w:eastAsia="es-ES_tradnl"/>
        </w:rPr>
        <w:footnoteReference w:id="165"/>
      </w:r>
      <w:r w:rsidRPr="00AB7B88">
        <w:rPr>
          <w:rStyle w:val="Bodytext52"/>
          <w:rFonts w:ascii="Times New Roman" w:hAnsi="Times New Roman"/>
          <w:color w:val="000000"/>
          <w:sz w:val="20"/>
          <w:lang w:val="es-AR" w:eastAsia="es-ES_tradnl"/>
        </w:rPr>
        <w:t xml:space="preserve">". La Escritura de Modificación como tal no subsana la falta de titularidad de los Demandantes en el Proyecto Valentines en el momento clave y, por ende, no puede conceder a este Tribunal jurisdicción </w:t>
      </w:r>
      <w:r w:rsidRPr="00AB7B88">
        <w:rPr>
          <w:rStyle w:val="Bodytext13125pt"/>
          <w:rFonts w:ascii="Times New Roman" w:hAnsi="Times New Roman"/>
          <w:b w:val="0"/>
          <w:smallCaps w:val="0"/>
          <w:color w:val="000000"/>
          <w:sz w:val="20"/>
          <w:lang w:val="es-AR" w:eastAsia="es-ES_tradnl"/>
        </w:rPr>
        <w:t>ratione temporis</w:t>
      </w:r>
      <w:r w:rsidRPr="00AB7B88">
        <w:rPr>
          <w:rStyle w:val="Bodytext52"/>
          <w:rFonts w:ascii="Times New Roman" w:hAnsi="Times New Roman"/>
          <w:color w:val="000000"/>
          <w:sz w:val="20"/>
          <w:vertAlign w:val="superscript"/>
          <w:lang w:eastAsia="es-ES_tradnl"/>
        </w:rPr>
        <w:footnoteReference w:id="166"/>
      </w:r>
      <w:r w:rsidRPr="00AB7B88">
        <w:rPr>
          <w:rStyle w:val="Bodytext52"/>
          <w:rFonts w:ascii="Times New Roman" w:hAnsi="Times New Roman"/>
          <w:color w:val="000000"/>
          <w:sz w:val="20"/>
          <w:lang w:val="es-AR" w:eastAsia="es-ES_tradnl"/>
        </w:rPr>
        <w:t>. La Demandada pone de relieve que, llegados a agosto de 2016, el Proyecto Valentines ya se había disuelto por completo, y todo presunto incumplimiento del TBI por parte de Uruguay había ocurrido tiempo atrás</w:t>
      </w:r>
      <w:r w:rsidRPr="00AB7B88">
        <w:rPr>
          <w:rStyle w:val="Bodytext52"/>
          <w:rFonts w:ascii="Times New Roman" w:hAnsi="Times New Roman"/>
          <w:color w:val="000000"/>
          <w:sz w:val="20"/>
          <w:vertAlign w:val="superscript"/>
          <w:lang w:eastAsia="es-ES_tradnl"/>
        </w:rPr>
        <w:footnoteReference w:id="167"/>
      </w:r>
      <w:r w:rsidRPr="00AB7B88">
        <w:rPr>
          <w:rStyle w:val="Bodytext52"/>
          <w:rFonts w:ascii="Times New Roman" w:hAnsi="Times New Roman"/>
          <w:color w:val="000000"/>
          <w:sz w:val="20"/>
          <w:lang w:val="es-AR" w:eastAsia="es-ES_tradnl"/>
        </w:rPr>
        <w:t xml:space="preserve">. Además, la Demandada hace notar que el Sr. Agarwal no brindó ninguna explicación por la enmienda repentina a la forma del </w:t>
      </w:r>
      <w:r w:rsidRPr="00AB7B88">
        <w:rPr>
          <w:rStyle w:val="Bodytext52"/>
          <w:rFonts w:ascii="Times New Roman" w:hAnsi="Times New Roman"/>
          <w:i/>
          <w:color w:val="000000"/>
          <w:sz w:val="20"/>
          <w:lang w:val="es-AR" w:eastAsia="es-ES_tradnl"/>
        </w:rPr>
        <w:t>Trust</w:t>
      </w:r>
      <w:r w:rsidRPr="00AB7B88">
        <w:rPr>
          <w:rStyle w:val="Bodytext52"/>
          <w:rFonts w:ascii="Times New Roman" w:hAnsi="Times New Roman"/>
          <w:color w:val="000000"/>
          <w:sz w:val="20"/>
          <w:vertAlign w:val="superscript"/>
          <w:lang w:eastAsia="es-ES_tradnl"/>
        </w:rPr>
        <w:footnoteReference w:id="168"/>
      </w:r>
      <w:r w:rsidRPr="00AB7B88">
        <w:rPr>
          <w:rStyle w:val="Bodytext52"/>
          <w:rFonts w:ascii="Times New Roman" w:hAnsi="Times New Roman"/>
          <w:color w:val="000000"/>
          <w:sz w:val="20"/>
          <w:lang w:val="es-AR" w:eastAsia="es-ES_tradnl"/>
        </w:rPr>
        <w:t xml:space="preserve">: en opinión de la Demandada, el momento del otorgamiento de la Escritura de Modificación, en el mejor de los casos, "refleja la preocupación ante una evidente falta de potestad de invocar el Tratado [... ] [porque] las propias </w:t>
      </w:r>
      <w:r w:rsidRPr="00AB7B88">
        <w:rPr>
          <w:rStyle w:val="Bodytext52"/>
          <w:rFonts w:ascii="Times New Roman" w:hAnsi="Times New Roman"/>
          <w:color w:val="000000"/>
          <w:sz w:val="20"/>
          <w:lang w:val="es-AR" w:eastAsia="es-ES_tradnl"/>
        </w:rPr>
        <w:lastRenderedPageBreak/>
        <w:t>Demandantes carecían de los intereses de titularidad requeridos para hacerlo</w:t>
      </w:r>
      <w:r w:rsidRPr="00AB7B88">
        <w:rPr>
          <w:rStyle w:val="Bodytext52"/>
          <w:rFonts w:ascii="Times New Roman" w:hAnsi="Times New Roman"/>
          <w:color w:val="000000"/>
          <w:sz w:val="20"/>
          <w:vertAlign w:val="superscript"/>
          <w:lang w:eastAsia="es-ES_tradnl"/>
        </w:rPr>
        <w:footnoteReference w:id="169"/>
      </w:r>
      <w:r w:rsidRPr="00AB7B88">
        <w:rPr>
          <w:rStyle w:val="Bodytext52"/>
          <w:rFonts w:ascii="Times New Roman" w:hAnsi="Times New Roman"/>
          <w:color w:val="000000"/>
          <w:sz w:val="20"/>
          <w:lang w:val="es-AR" w:eastAsia="es-ES_tradnl"/>
        </w:rPr>
        <w:t>".</w:t>
      </w:r>
    </w:p>
    <w:p w14:paraId="201B46F0" w14:textId="77777777" w:rsidR="003B3957" w:rsidRPr="00AB7B88" w:rsidRDefault="003B3957" w:rsidP="000053F7">
      <w:pPr>
        <w:pStyle w:val="Bodytext1"/>
        <w:numPr>
          <w:ilvl w:val="0"/>
          <w:numId w:val="41"/>
        </w:numPr>
        <w:shd w:val="clear" w:color="auto" w:fill="auto"/>
        <w:tabs>
          <w:tab w:val="left" w:pos="73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La Demandada añade que el Sr. Agarwal transformó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 hasta entonces </w:t>
      </w:r>
      <w:r w:rsidRPr="00AB7B88">
        <w:rPr>
          <w:rStyle w:val="Bodytext13125pt"/>
          <w:rFonts w:ascii="Times New Roman" w:hAnsi="Times New Roman"/>
          <w:b w:val="0"/>
          <w:smallCaps w:val="0"/>
          <w:color w:val="000000"/>
          <w:sz w:val="20"/>
          <w:lang w:val="es-AR" w:eastAsia="es-ES_tradnl"/>
        </w:rPr>
        <w:t>discretionary</w:t>
      </w:r>
      <w:r w:rsidRPr="00AB7B88">
        <w:rPr>
          <w:rStyle w:val="Bodytext52"/>
          <w:rFonts w:ascii="Times New Roman" w:hAnsi="Times New Roman"/>
          <w:color w:val="000000"/>
          <w:sz w:val="20"/>
          <w:lang w:val="es-AR" w:eastAsia="es-ES_tradnl"/>
        </w:rPr>
        <w:t xml:space="preserve"> — en un </w:t>
      </w:r>
      <w:r w:rsidRPr="00AB7B88">
        <w:rPr>
          <w:rStyle w:val="Bodytext13125pt"/>
          <w:rFonts w:ascii="Times New Roman" w:hAnsi="Times New Roman"/>
          <w:b w:val="0"/>
          <w:smallCaps w:val="0"/>
          <w:color w:val="000000"/>
          <w:sz w:val="20"/>
          <w:lang w:val="es-AR" w:eastAsia="es-ES_tradnl"/>
        </w:rPr>
        <w:t>fixed trust</w:t>
      </w:r>
      <w:r w:rsidRPr="00AB7B88">
        <w:rPr>
          <w:rStyle w:val="Bodytext52"/>
          <w:rFonts w:ascii="Times New Roman" w:hAnsi="Times New Roman"/>
          <w:color w:val="000000"/>
          <w:sz w:val="20"/>
          <w:lang w:val="es-AR" w:eastAsia="es-ES_tradnl"/>
        </w:rPr>
        <w:t xml:space="preserve"> a fin de establecer legitimación en el marco del TBI, que dicha transformación representa un abuso de derecho y que las pretensiones de los Demandantes deben por ello ser desestimadas</w:t>
      </w:r>
      <w:r w:rsidRPr="00AB7B88">
        <w:rPr>
          <w:rStyle w:val="Bodytext52"/>
          <w:rFonts w:ascii="Times New Roman" w:hAnsi="Times New Roman"/>
          <w:color w:val="000000"/>
          <w:sz w:val="20"/>
          <w:vertAlign w:val="superscript"/>
          <w:lang w:eastAsia="es-ES_tradnl"/>
        </w:rPr>
        <w:footnoteReference w:id="170"/>
      </w:r>
      <w:r w:rsidRPr="00AB7B88">
        <w:rPr>
          <w:rStyle w:val="Bodytext52"/>
          <w:rFonts w:ascii="Times New Roman" w:hAnsi="Times New Roman"/>
          <w:color w:val="000000"/>
          <w:sz w:val="20"/>
          <w:lang w:val="es-AR" w:eastAsia="es-ES_tradnl"/>
        </w:rPr>
        <w:t>. A juicio de la Demandada, la reestructuración de las inversiones con el fin exclusivo de crearjurisdicción al amparo de un tratado de inversión constituye "una manipulación abusiva del sistema de protección de las inversiones internacionales, en el marco del Convenio CIADI y de los TBI</w:t>
      </w:r>
      <w:r w:rsidRPr="00AB7B88">
        <w:rPr>
          <w:rStyle w:val="Bodytext52"/>
          <w:rFonts w:ascii="Times New Roman" w:hAnsi="Times New Roman"/>
          <w:color w:val="000000"/>
          <w:sz w:val="20"/>
          <w:vertAlign w:val="superscript"/>
          <w:lang w:eastAsia="es-ES_tradnl"/>
        </w:rPr>
        <w:footnoteReference w:id="171"/>
      </w:r>
      <w:r w:rsidRPr="00AB7B88">
        <w:rPr>
          <w:rStyle w:val="Bodytext52"/>
          <w:rFonts w:ascii="Times New Roman" w:hAnsi="Times New Roman"/>
          <w:color w:val="000000"/>
          <w:sz w:val="20"/>
          <w:lang w:val="es-AR" w:eastAsia="es-ES_tradnl"/>
        </w:rPr>
        <w:t>". Esto se aplica también toda vez que, en el momento en que se adquiere una inversión, preexiste o se prevé una controversia</w:t>
      </w:r>
      <w:r w:rsidRPr="00AB7B88">
        <w:rPr>
          <w:rStyle w:val="Bodytext52"/>
          <w:rFonts w:ascii="Times New Roman" w:hAnsi="Times New Roman"/>
          <w:color w:val="000000"/>
          <w:sz w:val="20"/>
          <w:vertAlign w:val="superscript"/>
          <w:lang w:eastAsia="es-ES_tradnl"/>
        </w:rPr>
        <w:footnoteReference w:id="172"/>
      </w:r>
      <w:r w:rsidRPr="00AB7B88">
        <w:rPr>
          <w:rStyle w:val="Bodytext52"/>
          <w:rFonts w:ascii="Times New Roman" w:hAnsi="Times New Roman"/>
          <w:color w:val="000000"/>
          <w:sz w:val="20"/>
          <w:lang w:val="es-AR" w:eastAsia="es-ES_tradnl"/>
        </w:rPr>
        <w:t>.</w:t>
      </w:r>
    </w:p>
    <w:p w14:paraId="517D3A01" w14:textId="77777777" w:rsidR="003B3957" w:rsidRPr="00AB7B88" w:rsidRDefault="003B3957" w:rsidP="000053F7">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Incluso si se considerase que la conversión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fue oportuna y no un abuso de derecho, en opinión de la Demandada, la mencionada conversión meramente dotó a los Demandantes, por primera vez, de </w:t>
      </w:r>
      <w:r w:rsidRPr="00AB7B88">
        <w:rPr>
          <w:rStyle w:val="Bodytext13125pt"/>
          <w:rFonts w:ascii="Times New Roman" w:hAnsi="Times New Roman"/>
          <w:b w:val="0"/>
          <w:smallCaps w:val="0"/>
          <w:color w:val="000000"/>
          <w:sz w:val="20"/>
          <w:lang w:val="es-AR" w:eastAsia="es-ES_tradnl"/>
        </w:rPr>
        <w:t>fixed beneficial interests,</w:t>
      </w:r>
      <w:r w:rsidRPr="00AB7B88">
        <w:rPr>
          <w:rStyle w:val="Bodytext52"/>
          <w:rFonts w:ascii="Times New Roman" w:hAnsi="Times New Roman"/>
          <w:color w:val="000000"/>
          <w:sz w:val="20"/>
          <w:lang w:val="es-AR" w:eastAsia="es-ES_tradnl"/>
        </w:rPr>
        <w:t xml:space="preserve"> y no la de titularidad legal de los bienes del </w:t>
      </w:r>
      <w:r w:rsidRPr="00AB7B88">
        <w:rPr>
          <w:rStyle w:val="Bodytext13125pt"/>
          <w:rFonts w:ascii="Times New Roman" w:hAnsi="Times New Roman"/>
          <w:b w:val="0"/>
          <w:smallCaps w:val="0"/>
          <w:color w:val="000000"/>
          <w:sz w:val="20"/>
          <w:lang w:val="es-AR" w:eastAsia="es-ES_tradnl"/>
        </w:rPr>
        <w:t>Trus</w:t>
      </w:r>
      <w:r w:rsidRPr="00AB7B88">
        <w:rPr>
          <w:rStyle w:val="Bodytext13125pt"/>
          <w:rFonts w:ascii="Times New Roman" w:hAnsi="Times New Roman"/>
          <w:b w:val="0"/>
          <w:i w:val="0"/>
          <w:smallCaps w:val="0"/>
          <w:color w:val="000000"/>
          <w:sz w:val="20"/>
          <w:lang w:val="es-AR" w:eastAsia="es-ES_tradnl"/>
        </w:rPr>
        <w:t>t</w:t>
      </w:r>
      <w:r w:rsidRPr="00AB7B88">
        <w:rPr>
          <w:rStyle w:val="Bodytext13125pt"/>
          <w:rFonts w:ascii="Times New Roman" w:hAnsi="Times New Roman"/>
          <w:b w:val="0"/>
          <w:i w:val="0"/>
          <w:smallCaps w:val="0"/>
          <w:color w:val="000000"/>
          <w:sz w:val="20"/>
          <w:vertAlign w:val="superscript"/>
          <w:lang w:eastAsia="es-ES_tradnl"/>
        </w:rPr>
        <w:footnoteReference w:id="173"/>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la cual, en el derecho de las Islas Caimán, se confiere solo al </w:t>
      </w:r>
      <w:r w:rsidR="00B058CD" w:rsidRPr="00AB7B88">
        <w:rPr>
          <w:rStyle w:val="Bodytext13125pt"/>
          <w:rFonts w:ascii="Times New Roman" w:hAnsi="Times New Roman"/>
          <w:b w:val="0"/>
          <w:smallCaps w:val="0"/>
          <w:color w:val="000000"/>
          <w:sz w:val="20"/>
          <w:lang w:val="es-AR" w:eastAsia="es-ES_tradnl"/>
        </w:rPr>
        <w:t>Trustee</w:t>
      </w:r>
      <w:r w:rsidRPr="00AB7B88">
        <w:rPr>
          <w:rStyle w:val="FootnoteReference"/>
          <w:bCs/>
          <w:iCs/>
          <w:color w:val="000000"/>
          <w:sz w:val="20"/>
          <w:szCs w:val="20"/>
          <w:lang w:eastAsia="es-ES_tradnl"/>
        </w:rPr>
        <w:footnoteReference w:id="174"/>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De igual manera, la Demandada arguye que, conforme al derecho de las Islas Caimán, los beneficiarios de un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no se posicionan como accionistas de ninguna empresa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Por ende, no pueden plantear pretensiones indirectas como inversores en el contexto inversor-Estado, ni tampoco terceros, como Uruguay, tienen ninguna obligación para con dichos beneficiarios respecto a las inversiones de las que tienen derecho a beneficiarse</w:t>
      </w:r>
      <w:r w:rsidRPr="00AB7B88">
        <w:rPr>
          <w:rStyle w:val="Bodytext52"/>
          <w:rFonts w:ascii="Times New Roman" w:hAnsi="Times New Roman"/>
          <w:color w:val="000000"/>
          <w:sz w:val="20"/>
          <w:vertAlign w:val="superscript"/>
          <w:lang w:eastAsia="es-ES_tradnl"/>
        </w:rPr>
        <w:footnoteReference w:id="175"/>
      </w:r>
      <w:r w:rsidRPr="00AB7B88">
        <w:rPr>
          <w:rStyle w:val="Bodytext52"/>
          <w:rFonts w:ascii="Times New Roman" w:hAnsi="Times New Roman"/>
          <w:color w:val="000000"/>
          <w:sz w:val="20"/>
          <w:lang w:val="es-AR" w:eastAsia="es-ES_tradnl"/>
        </w:rPr>
        <w:t>.</w:t>
      </w:r>
    </w:p>
    <w:p w14:paraId="4C2729E1" w14:textId="77777777" w:rsidR="003B3957" w:rsidRPr="00AB7B88" w:rsidRDefault="003B3957" w:rsidP="000053F7">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Finalmente, la Demandada propone, en referencia a </w:t>
      </w:r>
      <w:r w:rsidRPr="00AB7B88">
        <w:rPr>
          <w:rStyle w:val="Bodytext13125pt"/>
          <w:rFonts w:ascii="Times New Roman" w:hAnsi="Times New Roman"/>
          <w:b w:val="0"/>
          <w:smallCaps w:val="0"/>
          <w:color w:val="000000"/>
          <w:sz w:val="20"/>
          <w:lang w:val="es-AR" w:eastAsia="es-ES_tradnl"/>
        </w:rPr>
        <w:t>Benhamou c. Uruguay,</w:t>
      </w:r>
      <w:r w:rsidRPr="00AB7B88">
        <w:rPr>
          <w:rStyle w:val="Bodytext52"/>
          <w:rFonts w:ascii="Times New Roman" w:hAnsi="Times New Roman"/>
          <w:color w:val="000000"/>
          <w:sz w:val="20"/>
          <w:lang w:val="es-AR" w:eastAsia="es-ES_tradnl"/>
        </w:rPr>
        <w:t xml:space="preserve"> que las formas jurídicas que permiten a los individuos beneficiarse de inversiones, pero permanecer protegidos del pasivo que conlleva la propiedad directa, por ejemplo, para "efectos tributarios, protección contra los acreedores, eludir una prohibición legal, etc.", no pueden, después de establecidas, ser dejadas de lado cuando es conveniente </w:t>
      </w:r>
      <w:r w:rsidRPr="00AB7B88">
        <w:rPr>
          <w:rStyle w:val="Bodytext52"/>
          <w:rFonts w:ascii="Times New Roman" w:hAnsi="Times New Roman"/>
          <w:color w:val="000000"/>
          <w:sz w:val="20"/>
          <w:lang w:val="es-AR" w:eastAsia="es-ES_tradnl"/>
        </w:rPr>
        <w:lastRenderedPageBreak/>
        <w:t>hacerlo</w:t>
      </w:r>
      <w:r w:rsidRPr="00AB7B88">
        <w:rPr>
          <w:rStyle w:val="Bodytext52"/>
          <w:rFonts w:ascii="Times New Roman" w:hAnsi="Times New Roman"/>
          <w:color w:val="000000"/>
          <w:sz w:val="20"/>
          <w:vertAlign w:val="superscript"/>
          <w:lang w:eastAsia="es-ES_tradnl"/>
        </w:rPr>
        <w:footnoteReference w:id="176"/>
      </w:r>
      <w:r w:rsidRPr="00AB7B88">
        <w:rPr>
          <w:rStyle w:val="Bodytext52"/>
          <w:rFonts w:ascii="Times New Roman" w:hAnsi="Times New Roman"/>
          <w:color w:val="000000"/>
          <w:sz w:val="20"/>
          <w:lang w:val="es-AR" w:eastAsia="es-ES_tradnl"/>
        </w:rPr>
        <w:t>. En consecuencia, la Demandada sostiene que los Demandantes no pueden "reun[ir] las condiciones para ser titular[es]</w:t>
      </w:r>
      <w:r w:rsidRPr="00AB7B88">
        <w:rPr>
          <w:rStyle w:val="Bodytext52"/>
          <w:rFonts w:ascii="Times New Roman" w:hAnsi="Times New Roman"/>
          <w:color w:val="000000"/>
          <w:sz w:val="20"/>
          <w:vertAlign w:val="superscript"/>
          <w:lang w:eastAsia="es-ES_tradnl"/>
        </w:rPr>
        <w:footnoteReference w:id="177"/>
      </w:r>
      <w:r w:rsidRPr="00AB7B88">
        <w:rPr>
          <w:rStyle w:val="Bodytext52"/>
          <w:rFonts w:ascii="Times New Roman" w:hAnsi="Times New Roman"/>
          <w:color w:val="000000"/>
          <w:sz w:val="20"/>
          <w:lang w:val="es-AR" w:eastAsia="es-ES_tradnl"/>
        </w:rPr>
        <w:t xml:space="preserve">" de las inversiones contenidas en el </w:t>
      </w:r>
      <w:r w:rsidRPr="00AB7B88">
        <w:rPr>
          <w:rStyle w:val="Bodytext13125pt"/>
          <w:rFonts w:ascii="Times New Roman" w:hAnsi="Times New Roman"/>
          <w:b w:val="0"/>
          <w:bCs w:val="0"/>
          <w:smallCaps w:val="0"/>
          <w:color w:val="000000"/>
          <w:sz w:val="20"/>
          <w:lang w:val="es-AR" w:eastAsia="es-ES_tradnl"/>
        </w:rPr>
        <w:t>Trust P</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Devi simplemente porque tienen un </w:t>
      </w:r>
      <w:r w:rsidRPr="00AB7B88">
        <w:rPr>
          <w:rStyle w:val="Bodytext13125pt"/>
          <w:rFonts w:ascii="Times New Roman" w:hAnsi="Times New Roman"/>
          <w:b w:val="0"/>
          <w:smallCaps w:val="0"/>
          <w:color w:val="000000"/>
          <w:sz w:val="20"/>
          <w:lang w:val="es-AR" w:eastAsia="es-ES_tradnl"/>
        </w:rPr>
        <w:t>fiduciary beneficial interest</w:t>
      </w:r>
      <w:r w:rsidRPr="00AB7B88">
        <w:rPr>
          <w:rStyle w:val="Bodytext52"/>
          <w:rFonts w:ascii="Times New Roman" w:hAnsi="Times New Roman"/>
          <w:color w:val="000000"/>
          <w:sz w:val="20"/>
          <w:lang w:val="es-AR" w:eastAsia="es-ES_tradnl"/>
        </w:rPr>
        <w:t xml:space="preserve"> respecto de esas inversiones.</w:t>
      </w:r>
    </w:p>
    <w:p w14:paraId="157E7DB3" w14:textId="77777777" w:rsidR="003B3957" w:rsidRPr="00AB7B88" w:rsidRDefault="003B3957" w:rsidP="00AC5195">
      <w:pPr>
        <w:pStyle w:val="Heading20"/>
        <w:keepNext/>
        <w:keepLines/>
        <w:numPr>
          <w:ilvl w:val="0"/>
          <w:numId w:val="45"/>
        </w:numPr>
        <w:shd w:val="clear" w:color="auto" w:fill="auto"/>
        <w:tabs>
          <w:tab w:val="left" w:pos="340"/>
        </w:tabs>
        <w:spacing w:before="380" w:after="0" w:line="360" w:lineRule="auto"/>
        <w:ind w:firstLine="0"/>
        <w:rPr>
          <w:rFonts w:ascii="Times New Roman" w:hAnsi="Times New Roman"/>
          <w:b w:val="0"/>
          <w:sz w:val="20"/>
          <w:lang w:val="es-AR"/>
        </w:rPr>
      </w:pPr>
      <w:bookmarkStart w:id="77" w:name="bookmark78"/>
      <w:r w:rsidRPr="00AB7B88">
        <w:rPr>
          <w:rStyle w:val="Heading2"/>
          <w:rFonts w:ascii="Times New Roman" w:hAnsi="Times New Roman"/>
          <w:b/>
          <w:color w:val="000000"/>
          <w:sz w:val="20"/>
          <w:lang w:val="es-AR" w:eastAsia="es-ES_tradnl"/>
        </w:rPr>
        <w:t>Aplicabilidad de la doctrina del incumplimiento continuo</w:t>
      </w:r>
      <w:bookmarkEnd w:id="77"/>
    </w:p>
    <w:p w14:paraId="30A8F127" w14:textId="77777777" w:rsidR="003B3957" w:rsidRPr="00AB7B88" w:rsidRDefault="003B3957" w:rsidP="004060CE">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La Demandada rechaza que los Demandantes puedan invocar la doctrina del incumplimiento continuo respecto de los incumplimientos previos a la Escritura de Modificación sobre la base de que, conforme se analizó anteriormente, la reestructuración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constituyó un abuso del</w:t>
      </w:r>
      <w:r w:rsidR="00345800" w:rsidRPr="00AB7B88">
        <w:rPr>
          <w:rStyle w:val="Bodytext52"/>
          <w:rFonts w:ascii="Times New Roman" w:hAnsi="Times New Roman"/>
          <w:color w:val="000000"/>
          <w:sz w:val="20"/>
          <w:lang w:val="es-AR" w:eastAsia="es-ES_tradnl"/>
        </w:rPr>
        <w:t xml:space="preserve"> </w:t>
      </w:r>
      <w:r w:rsidRPr="00AB7B88">
        <w:rPr>
          <w:rStyle w:val="Bodytext3145pt1"/>
          <w:rFonts w:ascii="Times New Roman" w:hAnsi="Times New Roman"/>
          <w:b w:val="0"/>
          <w:i w:val="0"/>
          <w:iCs w:val="0"/>
          <w:smallCaps w:val="0"/>
          <w:color w:val="000000"/>
          <w:sz w:val="20"/>
          <w:lang w:val="es-AR" w:eastAsia="es-ES_tradnl"/>
        </w:rPr>
        <w:t>proceso</w:t>
      </w:r>
      <w:r w:rsidRPr="00AB7B88">
        <w:rPr>
          <w:rStyle w:val="Bodytext3145pt1"/>
          <w:rFonts w:ascii="Times New Roman" w:hAnsi="Times New Roman"/>
          <w:b w:val="0"/>
          <w:i w:val="0"/>
          <w:iCs w:val="0"/>
          <w:smallCaps w:val="0"/>
          <w:color w:val="000000"/>
          <w:sz w:val="20"/>
          <w:vertAlign w:val="superscript"/>
          <w:lang w:eastAsia="es-ES_tradnl"/>
        </w:rPr>
        <w:footnoteReference w:id="178"/>
      </w:r>
      <w:r w:rsidRPr="00AB7B88">
        <w:rPr>
          <w:rStyle w:val="Bodytext3145pt1"/>
          <w:rFonts w:ascii="Times New Roman" w:hAnsi="Times New Roman"/>
          <w:b w:val="0"/>
          <w:i w:val="0"/>
          <w:iCs w:val="0"/>
          <w:smallCaps w:val="0"/>
          <w:color w:val="000000"/>
          <w:sz w:val="20"/>
          <w:lang w:val="es-AR" w:eastAsia="es-ES_tradnl"/>
        </w:rPr>
        <w:t>.</w:t>
      </w:r>
    </w:p>
    <w:p w14:paraId="5C3836B0" w14:textId="77777777" w:rsidR="003B3957" w:rsidRPr="00AB7B88" w:rsidRDefault="003B3957" w:rsidP="004060CE">
      <w:pPr>
        <w:pStyle w:val="Bodytext1"/>
        <w:numPr>
          <w:ilvl w:val="0"/>
          <w:numId w:val="41"/>
        </w:numPr>
        <w:shd w:val="clear" w:color="auto" w:fill="auto"/>
        <w:spacing w:before="380" w:line="360" w:lineRule="auto"/>
        <w:ind w:left="522" w:hanging="522"/>
        <w:jc w:val="both"/>
        <w:rPr>
          <w:i/>
          <w:sz w:val="20"/>
          <w:lang w:val="es-AR"/>
        </w:rPr>
      </w:pPr>
      <w:r w:rsidRPr="00AB7B88">
        <w:rPr>
          <w:rStyle w:val="Bodytext52"/>
          <w:rFonts w:ascii="Times New Roman" w:hAnsi="Times New Roman"/>
          <w:color w:val="000000"/>
          <w:sz w:val="20"/>
          <w:lang w:val="es-AR" w:eastAsia="es-ES_tradnl"/>
        </w:rPr>
        <w:t xml:space="preserve">Incluso si se rechazara la objeción de abuso de proceso, la Demandada afirma que la adquisición de </w:t>
      </w:r>
      <w:r w:rsidRPr="00AB7B88">
        <w:rPr>
          <w:rStyle w:val="Bodytext13125pt"/>
          <w:rFonts w:ascii="Times New Roman" w:hAnsi="Times New Roman"/>
          <w:b w:val="0"/>
          <w:i w:val="0"/>
          <w:smallCaps w:val="0"/>
          <w:color w:val="000000"/>
          <w:sz w:val="20"/>
          <w:lang w:val="es-AR" w:eastAsia="es-ES_tradnl"/>
        </w:rPr>
        <w:t>buena fe de una inversión no puede procurar protección del tratado para controversias</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preexistentes</w:t>
      </w:r>
      <w:r w:rsidRPr="00AB7B88">
        <w:rPr>
          <w:rStyle w:val="Bodytext52"/>
          <w:rFonts w:ascii="Times New Roman" w:hAnsi="Times New Roman"/>
          <w:color w:val="000000"/>
          <w:sz w:val="20"/>
          <w:vertAlign w:val="superscript"/>
          <w:lang w:eastAsia="es-ES_tradnl"/>
        </w:rPr>
        <w:footnoteReference w:id="179"/>
      </w:r>
      <w:r w:rsidRPr="00AB7B88">
        <w:rPr>
          <w:rStyle w:val="Bodytext52"/>
          <w:rFonts w:ascii="Times New Roman" w:hAnsi="Times New Roman"/>
          <w:color w:val="000000"/>
          <w:sz w:val="20"/>
          <w:lang w:val="es-AR" w:eastAsia="es-ES_tradnl"/>
        </w:rPr>
        <w:t>. La Demandada interpreta el artículo 8 del TBI como limitado a "[c]ontroversias que surgieren entre un nacional o una sociedad de una Parte Contratante y la otra Parte Contratante en relación a una inversión de la primera</w:t>
      </w:r>
      <w:r w:rsidRPr="00AB7B88">
        <w:rPr>
          <w:rStyle w:val="Bodytext52"/>
          <w:rFonts w:ascii="Times New Roman" w:hAnsi="Times New Roman"/>
          <w:color w:val="000000"/>
          <w:sz w:val="20"/>
          <w:vertAlign w:val="superscript"/>
          <w:lang w:eastAsia="es-ES_tradnl"/>
        </w:rPr>
        <w:footnoteReference w:id="180"/>
      </w:r>
      <w:r w:rsidRPr="00AB7B88">
        <w:rPr>
          <w:rStyle w:val="Bodytext52"/>
          <w:rFonts w:ascii="Times New Roman" w:hAnsi="Times New Roman"/>
          <w:color w:val="000000"/>
          <w:sz w:val="20"/>
          <w:lang w:val="es-AR" w:eastAsia="es-ES_tradnl"/>
        </w:rPr>
        <w:t xml:space="preserve">", con lo cual se excluyen diferencias de fecha muy </w:t>
      </w:r>
      <w:r w:rsidRPr="00AB7B88">
        <w:rPr>
          <w:rStyle w:val="Bodytext13125pt"/>
          <w:rFonts w:ascii="Times New Roman" w:hAnsi="Times New Roman"/>
          <w:b w:val="0"/>
          <w:i w:val="0"/>
          <w:smallCaps w:val="0"/>
          <w:color w:val="000000"/>
          <w:sz w:val="20"/>
          <w:lang w:val="es-AR" w:eastAsia="es-ES_tradnl"/>
        </w:rPr>
        <w:t>anterior a la adquisición de la inversión, como en el presente caso</w:t>
      </w:r>
      <w:r w:rsidRPr="00AB7B88">
        <w:rPr>
          <w:rStyle w:val="Bodytext13125pt"/>
          <w:rFonts w:ascii="Times New Roman" w:hAnsi="Times New Roman"/>
          <w:b w:val="0"/>
          <w:i w:val="0"/>
          <w:smallCaps w:val="0"/>
          <w:color w:val="000000"/>
          <w:sz w:val="20"/>
          <w:vertAlign w:val="superscript"/>
          <w:lang w:eastAsia="es-ES_tradnl"/>
        </w:rPr>
        <w:footnoteReference w:id="181"/>
      </w:r>
      <w:r w:rsidRPr="00AB7B88">
        <w:rPr>
          <w:rStyle w:val="Bodytext13125pt"/>
          <w:rFonts w:ascii="Times New Roman" w:hAnsi="Times New Roman"/>
          <w:b w:val="0"/>
          <w:i w:val="0"/>
          <w:smallCaps w:val="0"/>
          <w:color w:val="000000"/>
          <w:sz w:val="20"/>
          <w:lang w:val="es-AR" w:eastAsia="es-ES_tradnl"/>
        </w:rPr>
        <w:t>.</w:t>
      </w:r>
    </w:p>
    <w:p w14:paraId="7396EFC0" w14:textId="77777777" w:rsidR="003B3957" w:rsidRPr="00AB7B88" w:rsidRDefault="003B3957" w:rsidP="006B3AC2">
      <w:pPr>
        <w:pStyle w:val="Bodytext1"/>
        <w:numPr>
          <w:ilvl w:val="0"/>
          <w:numId w:val="41"/>
        </w:numPr>
        <w:shd w:val="clear" w:color="auto" w:fill="auto"/>
        <w:spacing w:before="380" w:line="360" w:lineRule="auto"/>
        <w:ind w:left="522" w:hanging="522"/>
        <w:jc w:val="both"/>
        <w:rPr>
          <w:i/>
          <w:sz w:val="20"/>
          <w:lang w:val="es-AR"/>
        </w:rPr>
      </w:pPr>
      <w:r w:rsidRPr="00AB7B88">
        <w:rPr>
          <w:rStyle w:val="Bodytext52"/>
          <w:rFonts w:ascii="Times New Roman" w:hAnsi="Times New Roman"/>
          <w:color w:val="000000"/>
          <w:sz w:val="20"/>
          <w:lang w:val="es-AR" w:eastAsia="es-ES_tradnl"/>
        </w:rPr>
        <w:t>Asimismo, la Demandada rechaza que la doctrina del incumplimiento pueda otorgar al Tribunal jurisdicción sobre todas las pretensiones asociadas con la Ley de Minería de Gran Porte desde su publicación</w:t>
      </w:r>
      <w:r w:rsidRPr="00AB7B88">
        <w:rPr>
          <w:rStyle w:val="Bodytext52"/>
          <w:rFonts w:ascii="Times New Roman" w:hAnsi="Times New Roman"/>
          <w:color w:val="000000"/>
          <w:sz w:val="20"/>
          <w:vertAlign w:val="superscript"/>
          <w:lang w:eastAsia="es-ES_tradnl"/>
        </w:rPr>
        <w:footnoteReference w:id="182"/>
      </w:r>
      <w:r w:rsidRPr="00AB7B88">
        <w:rPr>
          <w:rStyle w:val="Bodytext52"/>
          <w:rFonts w:ascii="Times New Roman" w:hAnsi="Times New Roman"/>
          <w:color w:val="000000"/>
          <w:sz w:val="20"/>
          <w:lang w:val="es-AR" w:eastAsia="es-ES_tradnl"/>
        </w:rPr>
        <w:t xml:space="preserve">. A juicio de la Demandada, del mismo modo que un demandante no puede procurar </w:t>
      </w:r>
      <w:r w:rsidRPr="00AB7B88">
        <w:rPr>
          <w:rStyle w:val="Bodytext13125pt"/>
          <w:rFonts w:ascii="Times New Roman" w:hAnsi="Times New Roman"/>
          <w:b w:val="0"/>
          <w:i w:val="0"/>
          <w:smallCaps w:val="0"/>
          <w:color w:val="000000"/>
          <w:sz w:val="20"/>
          <w:lang w:val="es-AR" w:eastAsia="es-ES_tradnl"/>
        </w:rPr>
        <w:t>la</w:t>
      </w:r>
      <w:r w:rsidRPr="00AB7B88">
        <w:rPr>
          <w:rStyle w:val="Bodytext13125pt"/>
          <w:rFonts w:ascii="Times New Roman" w:hAnsi="Times New Roman"/>
          <w:b w:val="0"/>
          <w:smallCaps w:val="0"/>
          <w:color w:val="000000"/>
          <w:sz w:val="20"/>
          <w:lang w:val="es-AR" w:eastAsia="es-ES_tradnl"/>
        </w:rPr>
        <w:t xml:space="preserve"> </w:t>
      </w:r>
      <w:r w:rsidRPr="00AB7B88">
        <w:rPr>
          <w:rStyle w:val="Bodytext13125pt"/>
          <w:rFonts w:ascii="Times New Roman" w:hAnsi="Times New Roman"/>
          <w:b w:val="0"/>
          <w:i w:val="0"/>
          <w:smallCaps w:val="0"/>
          <w:color w:val="000000"/>
          <w:sz w:val="20"/>
          <w:lang w:val="es-AR" w:eastAsia="es-ES_tradnl"/>
        </w:rPr>
        <w:t xml:space="preserve">protección de un tratado por </w:t>
      </w:r>
      <w:r w:rsidRPr="00AB7B88">
        <w:rPr>
          <w:rStyle w:val="Bodytext13125pt"/>
          <w:rFonts w:ascii="Times New Roman" w:hAnsi="Times New Roman"/>
          <w:b w:val="0"/>
          <w:i w:val="0"/>
          <w:smallCaps w:val="0"/>
          <w:color w:val="000000"/>
          <w:sz w:val="20"/>
          <w:lang w:val="es-AR" w:eastAsia="es-ES_tradnl"/>
        </w:rPr>
        <w:lastRenderedPageBreak/>
        <w:t>"incumplimientos" que ocurrieron antes de que el demandante</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invirtiera en el país anfitrión, un demandante tampoco puede pretender aplicar la doctrina del "incumplimiento continuo" en forma retroactiva a un período en el cual el demandante carecía de cualquier inversión en el país</w:t>
      </w:r>
      <w:r w:rsidRPr="00AB7B88">
        <w:rPr>
          <w:rStyle w:val="Bodytext52"/>
          <w:rFonts w:ascii="Times New Roman" w:hAnsi="Times New Roman"/>
          <w:color w:val="000000"/>
          <w:sz w:val="20"/>
          <w:vertAlign w:val="superscript"/>
          <w:lang w:eastAsia="es-ES_tradnl"/>
        </w:rPr>
        <w:footnoteReference w:id="183"/>
      </w:r>
      <w:r w:rsidRPr="00AB7B88">
        <w:rPr>
          <w:rStyle w:val="Bodytext52"/>
          <w:rFonts w:ascii="Times New Roman" w:hAnsi="Times New Roman"/>
          <w:color w:val="000000"/>
          <w:sz w:val="20"/>
          <w:lang w:val="es-AR" w:eastAsia="es-ES_tradnl"/>
        </w:rPr>
        <w:t xml:space="preserve">. La Demandada postula que la jurisprudencia invocada por los Demandantes en apoyo de su argumento sobre la aplicabilidad de la doctrina del "incumplimiento </w:t>
      </w:r>
      <w:r w:rsidRPr="00AB7B88">
        <w:rPr>
          <w:rStyle w:val="Bodytext13125pt"/>
          <w:rFonts w:ascii="Times New Roman" w:hAnsi="Times New Roman"/>
          <w:b w:val="0"/>
          <w:i w:val="0"/>
          <w:smallCaps w:val="0"/>
          <w:color w:val="000000"/>
          <w:sz w:val="20"/>
          <w:lang w:val="es-AR" w:eastAsia="es-ES_tradnl"/>
        </w:rPr>
        <w:t>continuo" en realidad demuestra que la doctrina no resulta de aplicación a este caso concreto</w:t>
      </w:r>
      <w:r w:rsidRPr="00AB7B88">
        <w:rPr>
          <w:rStyle w:val="Bodytext13125pt"/>
          <w:rFonts w:ascii="Times New Roman" w:hAnsi="Times New Roman"/>
          <w:b w:val="0"/>
          <w:i w:val="0"/>
          <w:smallCaps w:val="0"/>
          <w:color w:val="000000"/>
          <w:sz w:val="20"/>
          <w:vertAlign w:val="superscript"/>
          <w:lang w:eastAsia="es-ES_tradnl"/>
        </w:rPr>
        <w:footnoteReference w:id="184"/>
      </w:r>
      <w:r w:rsidRPr="00AB7B88">
        <w:rPr>
          <w:rStyle w:val="Bodytext13125pt"/>
          <w:rFonts w:ascii="Times New Roman" w:hAnsi="Times New Roman"/>
          <w:b w:val="0"/>
          <w:i w:val="0"/>
          <w:smallCaps w:val="0"/>
          <w:color w:val="000000"/>
          <w:sz w:val="20"/>
          <w:lang w:val="es-AR" w:eastAsia="es-ES_tradnl"/>
        </w:rPr>
        <w:t>.</w:t>
      </w:r>
    </w:p>
    <w:p w14:paraId="00789596" w14:textId="77777777" w:rsidR="003B3957" w:rsidRPr="00AB7B88" w:rsidRDefault="003B3957" w:rsidP="00AC5195">
      <w:pPr>
        <w:pStyle w:val="Heading20"/>
        <w:keepNext/>
        <w:keepLines/>
        <w:numPr>
          <w:ilvl w:val="0"/>
          <w:numId w:val="44"/>
        </w:numPr>
        <w:shd w:val="clear" w:color="auto" w:fill="auto"/>
        <w:tabs>
          <w:tab w:val="left" w:pos="340"/>
        </w:tabs>
        <w:spacing w:before="380" w:after="0" w:line="360" w:lineRule="auto"/>
        <w:ind w:firstLine="0"/>
        <w:rPr>
          <w:rFonts w:ascii="Times New Roman" w:hAnsi="Times New Roman"/>
          <w:b w:val="0"/>
          <w:sz w:val="20"/>
        </w:rPr>
      </w:pPr>
      <w:bookmarkStart w:id="78" w:name="bookmark79"/>
      <w:bookmarkStart w:id="79" w:name="bookmark80"/>
      <w:r w:rsidRPr="00AB7B88">
        <w:rPr>
          <w:rStyle w:val="Heading2"/>
          <w:rFonts w:ascii="Times New Roman" w:hAnsi="Times New Roman"/>
          <w:b/>
          <w:color w:val="000000"/>
          <w:sz w:val="20"/>
          <w:lang w:eastAsia="es-ES_tradnl"/>
        </w:rPr>
        <w:t>La postura de los Demandantes</w:t>
      </w:r>
      <w:bookmarkEnd w:id="78"/>
      <w:bookmarkEnd w:id="79"/>
    </w:p>
    <w:p w14:paraId="2D0F4049" w14:textId="77777777" w:rsidR="003B3957" w:rsidRPr="00AB7B88" w:rsidRDefault="003B3957" w:rsidP="00AC5195">
      <w:pPr>
        <w:pStyle w:val="Heading20"/>
        <w:keepNext/>
        <w:keepLines/>
        <w:numPr>
          <w:ilvl w:val="0"/>
          <w:numId w:val="46"/>
        </w:numPr>
        <w:shd w:val="clear" w:color="auto" w:fill="auto"/>
        <w:tabs>
          <w:tab w:val="left" w:pos="340"/>
        </w:tabs>
        <w:spacing w:before="380" w:after="0" w:line="360" w:lineRule="auto"/>
        <w:ind w:firstLine="0"/>
        <w:rPr>
          <w:rFonts w:ascii="Times New Roman" w:hAnsi="Times New Roman"/>
          <w:b w:val="0"/>
          <w:sz w:val="20"/>
          <w:lang w:val="es-AR"/>
        </w:rPr>
      </w:pPr>
      <w:bookmarkStart w:id="80" w:name="bookmark81"/>
      <w:bookmarkStart w:id="81" w:name="bookmark82"/>
      <w:r w:rsidRPr="00AB7B88">
        <w:rPr>
          <w:rStyle w:val="Heading2"/>
          <w:rFonts w:ascii="Times New Roman" w:hAnsi="Times New Roman"/>
          <w:b/>
          <w:color w:val="000000"/>
          <w:sz w:val="20"/>
          <w:lang w:val="es-AR" w:eastAsia="es-ES_tradnl"/>
        </w:rPr>
        <w:t xml:space="preserve">El derecho a procurar protección del TBI como </w:t>
      </w:r>
      <w:r w:rsidRPr="00AB7B88">
        <w:rPr>
          <w:rStyle w:val="Bodytext145pt"/>
          <w:rFonts w:ascii="Times New Roman" w:eastAsia="Calibri" w:hAnsi="Times New Roman"/>
          <w:b/>
          <w:bCs/>
          <w:smallCaps w:val="0"/>
          <w:color w:val="000000"/>
          <w:sz w:val="20"/>
          <w:lang w:val="es-AR" w:eastAsia="es-ES_tradnl"/>
        </w:rPr>
        <w:t>beneficial owner</w:t>
      </w:r>
      <w:bookmarkEnd w:id="80"/>
      <w:bookmarkEnd w:id="81"/>
    </w:p>
    <w:p w14:paraId="3D21EB1D" w14:textId="77777777" w:rsidR="003B3957" w:rsidRPr="00AB7B88" w:rsidRDefault="003B3957" w:rsidP="002166C9">
      <w:pPr>
        <w:pStyle w:val="Bodytext1"/>
        <w:numPr>
          <w:ilvl w:val="0"/>
          <w:numId w:val="41"/>
        </w:numPr>
        <w:shd w:val="clear" w:color="auto" w:fill="auto"/>
        <w:spacing w:before="380" w:line="360" w:lineRule="auto"/>
        <w:ind w:left="522" w:hanging="522"/>
        <w:jc w:val="both"/>
        <w:rPr>
          <w:sz w:val="20"/>
          <w:lang w:val="es-AR"/>
        </w:rPr>
      </w:pPr>
      <w:r w:rsidRPr="00AB7B88">
        <w:rPr>
          <w:rStyle w:val="Bodytext3145pt1"/>
          <w:rFonts w:ascii="Times New Roman" w:hAnsi="Times New Roman"/>
          <w:b w:val="0"/>
          <w:i w:val="0"/>
          <w:iCs w:val="0"/>
          <w:smallCaps w:val="0"/>
          <w:color w:val="000000"/>
          <w:sz w:val="20"/>
          <w:lang w:val="es-AR" w:eastAsia="es-ES_tradnl"/>
        </w:rPr>
        <w:t>En primer lugar, los Demandantes sostienen que la Demandada clasifica erróneamente sus</w:t>
      </w:r>
      <w:r w:rsidRPr="00AB7B88">
        <w:rPr>
          <w:rStyle w:val="Bodytext3145pt1"/>
          <w:rFonts w:ascii="Times New Roman" w:hAnsi="Times New Roman"/>
          <w:i w:val="0"/>
          <w:iCs w:val="0"/>
          <w:smallCaps w:val="0"/>
          <w:color w:val="000000"/>
          <w:sz w:val="20"/>
          <w:lang w:val="es-AR" w:eastAsia="es-ES_tradnl"/>
        </w:rPr>
        <w:t xml:space="preserve"> </w:t>
      </w:r>
      <w:r w:rsidRPr="00AB7B88">
        <w:rPr>
          <w:rStyle w:val="Bodytext5NotItalic1"/>
          <w:rFonts w:ascii="Times New Roman" w:hAnsi="Times New Roman"/>
          <w:iCs/>
          <w:color w:val="000000"/>
          <w:sz w:val="20"/>
          <w:lang w:val="es-AR" w:eastAsia="es-ES_tradnl"/>
        </w:rPr>
        <w:t>objeciones</w:t>
      </w:r>
      <w:r w:rsidRPr="00AB7B88">
        <w:rPr>
          <w:rStyle w:val="Bodytext5NotItalic1"/>
          <w:rFonts w:ascii="Times New Roman" w:hAnsi="Times New Roman"/>
          <w:i/>
          <w:iCs/>
          <w:color w:val="000000"/>
          <w:sz w:val="20"/>
          <w:lang w:val="es-AR" w:eastAsia="es-ES_tradnl"/>
        </w:rPr>
        <w:t xml:space="preserve"> </w:t>
      </w:r>
      <w:r w:rsidRPr="00AB7B88">
        <w:rPr>
          <w:rStyle w:val="Bodytext5NotItalic1"/>
          <w:rFonts w:ascii="Times New Roman" w:hAnsi="Times New Roman"/>
          <w:iCs/>
          <w:color w:val="000000"/>
          <w:sz w:val="20"/>
          <w:lang w:val="es-AR" w:eastAsia="es-ES_tradnl"/>
        </w:rPr>
        <w:t>como objeciones a la jurisdicción</w:t>
      </w:r>
      <w:r w:rsidRPr="00AB7B88">
        <w:rPr>
          <w:rStyle w:val="Bodytext5NotItalic1"/>
          <w:rFonts w:ascii="Times New Roman" w:hAnsi="Times New Roman"/>
          <w:b/>
          <w:iCs/>
          <w:color w:val="000000"/>
          <w:sz w:val="20"/>
          <w:lang w:val="es-AR" w:eastAsia="es-ES_tradnl"/>
        </w:rPr>
        <w:t xml:space="preserve"> </w:t>
      </w:r>
      <w:r w:rsidRPr="00AB7B88">
        <w:rPr>
          <w:rStyle w:val="Bodytext3145pt1"/>
          <w:rFonts w:ascii="Times New Roman" w:hAnsi="Times New Roman"/>
          <w:b w:val="0"/>
          <w:iCs w:val="0"/>
          <w:smallCaps w:val="0"/>
          <w:color w:val="000000"/>
          <w:sz w:val="20"/>
          <w:lang w:val="es-AR" w:eastAsia="es-ES_tradnl"/>
        </w:rPr>
        <w:t>ratione temporis</w:t>
      </w:r>
      <w:r w:rsidRPr="00AB7B88">
        <w:rPr>
          <w:rStyle w:val="Bodytext5NotItalic1"/>
          <w:rFonts w:ascii="Times New Roman" w:hAnsi="Times New Roman"/>
          <w:iCs/>
          <w:color w:val="000000"/>
          <w:sz w:val="20"/>
          <w:lang w:val="es-AR" w:eastAsia="es-ES_tradnl"/>
        </w:rPr>
        <w:t xml:space="preserve"> de este Tribunal. Por el contrario, los </w:t>
      </w:r>
      <w:r w:rsidRPr="00AB7B88">
        <w:rPr>
          <w:rStyle w:val="Bodytext3145pt1"/>
          <w:rFonts w:ascii="Times New Roman" w:hAnsi="Times New Roman"/>
          <w:b w:val="0"/>
          <w:i w:val="0"/>
          <w:iCs w:val="0"/>
          <w:smallCaps w:val="0"/>
          <w:color w:val="000000"/>
          <w:sz w:val="20"/>
          <w:lang w:val="es-AR" w:eastAsia="es-ES_tradnl"/>
        </w:rPr>
        <w:t>Demandantes sostienen</w:t>
      </w:r>
      <w:r w:rsidRPr="00AB7B88">
        <w:rPr>
          <w:rStyle w:val="Bodytext3145pt1"/>
          <w:rFonts w:ascii="Times New Roman" w:hAnsi="Times New Roman"/>
          <w:iCs w:val="0"/>
          <w:smallCaps w:val="0"/>
          <w:color w:val="000000"/>
          <w:sz w:val="20"/>
          <w:lang w:val="es-AR" w:eastAsia="es-ES_tradnl"/>
        </w:rPr>
        <w:t xml:space="preserve"> </w:t>
      </w:r>
      <w:r w:rsidRPr="00AB7B88">
        <w:rPr>
          <w:rStyle w:val="Bodytext3145pt1"/>
          <w:rFonts w:ascii="Times New Roman" w:hAnsi="Times New Roman"/>
          <w:b w:val="0"/>
          <w:i w:val="0"/>
          <w:iCs w:val="0"/>
          <w:smallCaps w:val="0"/>
          <w:color w:val="000000"/>
          <w:sz w:val="20"/>
          <w:lang w:val="es-AR" w:eastAsia="es-ES_tradnl"/>
        </w:rPr>
        <w:t>que los argumentos de la Demandada constituyen una impugnación, en el</w:t>
      </w:r>
      <w:r w:rsidRPr="00AB7B88">
        <w:rPr>
          <w:rStyle w:val="Bodytext3145pt1"/>
          <w:rFonts w:ascii="Times New Roman" w:hAnsi="Times New Roman"/>
          <w:iCs w:val="0"/>
          <w:smallCaps w:val="0"/>
          <w:color w:val="000000"/>
          <w:sz w:val="20"/>
          <w:lang w:val="es-AR" w:eastAsia="es-ES_tradnl"/>
        </w:rPr>
        <w:t xml:space="preserve"> </w:t>
      </w:r>
      <w:r w:rsidRPr="00AB7B88">
        <w:rPr>
          <w:rStyle w:val="Bodytext52"/>
          <w:rFonts w:ascii="Times New Roman" w:hAnsi="Times New Roman"/>
          <w:iCs/>
          <w:color w:val="000000"/>
          <w:sz w:val="20"/>
          <w:lang w:val="es-AR" w:eastAsia="es-ES_tradnl"/>
        </w:rPr>
        <w:t>mejor de los casos, de la legitimación de los Demandantes</w:t>
      </w:r>
      <w:r w:rsidRPr="00AB7B88">
        <w:rPr>
          <w:rStyle w:val="Bodytext52"/>
          <w:rFonts w:ascii="Times New Roman" w:hAnsi="Times New Roman"/>
          <w:iCs/>
          <w:color w:val="000000"/>
          <w:sz w:val="20"/>
          <w:vertAlign w:val="superscript"/>
          <w:lang w:eastAsia="es-ES_tradnl"/>
        </w:rPr>
        <w:footnoteReference w:id="185"/>
      </w:r>
      <w:r w:rsidRPr="00AB7B88">
        <w:rPr>
          <w:rStyle w:val="Bodytext52"/>
          <w:rFonts w:ascii="Times New Roman" w:hAnsi="Times New Roman"/>
          <w:iCs/>
          <w:color w:val="000000"/>
          <w:sz w:val="20"/>
          <w:lang w:val="es-AR" w:eastAsia="es-ES_tradnl"/>
        </w:rPr>
        <w:t xml:space="preserve">. Los Demandantes ponen de relieve que no puede haber una objeción seria a la jurisdicción </w:t>
      </w:r>
      <w:r w:rsidRPr="00AB7B88">
        <w:rPr>
          <w:rStyle w:val="Bodytext13125pt"/>
          <w:rFonts w:ascii="Times New Roman" w:hAnsi="Times New Roman"/>
          <w:b w:val="0"/>
          <w:iCs w:val="0"/>
          <w:smallCaps w:val="0"/>
          <w:color w:val="000000"/>
          <w:sz w:val="20"/>
          <w:lang w:val="es-AR" w:eastAsia="es-ES_tradnl"/>
        </w:rPr>
        <w:t>ratione temporis</w:t>
      </w:r>
      <w:r w:rsidRPr="00AB7B88">
        <w:rPr>
          <w:rStyle w:val="Bodytext52"/>
          <w:rFonts w:ascii="Times New Roman" w:hAnsi="Times New Roman"/>
          <w:iCs/>
          <w:color w:val="000000"/>
          <w:sz w:val="20"/>
          <w:lang w:val="es-AR" w:eastAsia="es-ES_tradnl"/>
        </w:rPr>
        <w:t xml:space="preserve"> de este Tribunal, dado que dicha jurisdicción se establece sobre la base de la fecha en que "el inversor de inicio al procedimiento de arbitraje internacional, perfeccionando así el consentimiento al aceptar el ofrecimiento del Estado receptor de someterse a arbitraje</w:t>
      </w:r>
      <w:r w:rsidRPr="00AB7B88">
        <w:rPr>
          <w:rStyle w:val="Bodytext52"/>
          <w:rFonts w:ascii="Times New Roman" w:hAnsi="Times New Roman"/>
          <w:iCs/>
          <w:color w:val="000000"/>
          <w:sz w:val="20"/>
          <w:vertAlign w:val="superscript"/>
          <w:lang w:eastAsia="es-ES_tradnl"/>
        </w:rPr>
        <w:footnoteReference w:id="186"/>
      </w:r>
      <w:r w:rsidRPr="00AB7B88">
        <w:rPr>
          <w:rStyle w:val="Bodytext52"/>
          <w:rFonts w:ascii="Times New Roman" w:hAnsi="Times New Roman"/>
          <w:iCs/>
          <w:color w:val="000000"/>
          <w:sz w:val="20"/>
          <w:lang w:val="es-AR" w:eastAsia="es-ES_tradnl"/>
        </w:rPr>
        <w:t xml:space="preserve">". Los Demandantes postulan que presentaron la Notificación de Arbitraje el 19 de julio de 2017, momento en el cual los Demandantes se habían convertido en </w:t>
      </w:r>
      <w:r w:rsidRPr="00AB7B88">
        <w:rPr>
          <w:rStyle w:val="Bodytext13125pt"/>
          <w:rFonts w:ascii="Times New Roman" w:hAnsi="Times New Roman"/>
          <w:b w:val="0"/>
          <w:iCs w:val="0"/>
          <w:smallCaps w:val="0"/>
          <w:color w:val="000000"/>
          <w:sz w:val="20"/>
          <w:lang w:val="es-AR" w:eastAsia="es-ES_tradnl"/>
        </w:rPr>
        <w:t>fixed beneficiaries</w:t>
      </w:r>
      <w:r w:rsidRPr="00AB7B88">
        <w:rPr>
          <w:rStyle w:val="Bodytext52"/>
          <w:rFonts w:ascii="Times New Roman" w:hAnsi="Times New Roman"/>
          <w:iCs/>
          <w:color w:val="000000"/>
          <w:sz w:val="20"/>
          <w:lang w:val="es-AR" w:eastAsia="es-ES_tradnl"/>
        </w:rPr>
        <w:t xml:space="preserve"> en virtud de la Escritura de Modificación. En consecuencia, en lugar de ser una cuestión de jurisdicción, las objeciones de la Demandada se pueden clasificar, en el mejor de los casos, como referentes a cuestiones de admisibilidad</w:t>
      </w:r>
      <w:r w:rsidRPr="00AB7B88">
        <w:rPr>
          <w:rStyle w:val="Bodytext52"/>
          <w:rFonts w:ascii="Times New Roman" w:hAnsi="Times New Roman"/>
          <w:iCs/>
          <w:color w:val="000000"/>
          <w:sz w:val="20"/>
          <w:vertAlign w:val="superscript"/>
          <w:lang w:eastAsia="es-ES_tradnl"/>
        </w:rPr>
        <w:footnoteReference w:id="187"/>
      </w:r>
      <w:r w:rsidRPr="00AB7B88">
        <w:rPr>
          <w:rStyle w:val="Bodytext52"/>
          <w:rFonts w:ascii="Times New Roman" w:hAnsi="Times New Roman"/>
          <w:iCs/>
          <w:color w:val="000000"/>
          <w:sz w:val="20"/>
          <w:lang w:val="es-AR" w:eastAsia="es-ES_tradnl"/>
        </w:rPr>
        <w:t>.</w:t>
      </w:r>
    </w:p>
    <w:p w14:paraId="59459E86" w14:textId="77777777" w:rsidR="003B3957" w:rsidRPr="00AB7B88" w:rsidRDefault="003B3957" w:rsidP="006B3AC2">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En segundo lugar, los Demandantes sostienen que son el TBI y el derecho internacional general, y no el derecho de las Islas Caimán, los que rigen estos procedimientos</w:t>
      </w:r>
      <w:r w:rsidRPr="00AB7B88">
        <w:rPr>
          <w:rStyle w:val="Bodytext52"/>
          <w:rFonts w:ascii="Times New Roman" w:hAnsi="Times New Roman"/>
          <w:color w:val="000000"/>
          <w:sz w:val="20"/>
          <w:vertAlign w:val="superscript"/>
          <w:lang w:eastAsia="es-ES_tradnl"/>
        </w:rPr>
        <w:footnoteReference w:id="188"/>
      </w:r>
      <w:r w:rsidRPr="00AB7B88">
        <w:rPr>
          <w:rStyle w:val="Bodytext52"/>
          <w:rFonts w:ascii="Times New Roman" w:hAnsi="Times New Roman"/>
          <w:color w:val="000000"/>
          <w:sz w:val="20"/>
          <w:lang w:val="es-AR" w:eastAsia="es-ES_tradnl"/>
        </w:rPr>
        <w:t xml:space="preserve"> y definen: i) la relación jurídica entre los </w:t>
      </w:r>
      <w:r w:rsidRPr="00AB7B88">
        <w:rPr>
          <w:rStyle w:val="Bodytext52"/>
          <w:rFonts w:ascii="Times New Roman" w:hAnsi="Times New Roman"/>
          <w:color w:val="000000"/>
          <w:sz w:val="20"/>
          <w:lang w:val="es-AR" w:eastAsia="es-ES_tradnl"/>
        </w:rPr>
        <w:lastRenderedPageBreak/>
        <w:t xml:space="preserve">Demandantes y los bienes uruguayos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ii) si los Demandantes están facultados para invocar protecciones al amparo del TBI</w:t>
      </w:r>
      <w:r w:rsidRPr="00AB7B88">
        <w:rPr>
          <w:rStyle w:val="Bodytext52"/>
          <w:rFonts w:ascii="Times New Roman" w:hAnsi="Times New Roman"/>
          <w:color w:val="000000"/>
          <w:sz w:val="20"/>
          <w:vertAlign w:val="superscript"/>
          <w:lang w:eastAsia="es-ES_tradnl"/>
        </w:rPr>
        <w:footnoteReference w:id="189"/>
      </w:r>
      <w:r w:rsidRPr="00AB7B88">
        <w:rPr>
          <w:rStyle w:val="Bodytext52"/>
          <w:rFonts w:ascii="Times New Roman" w:hAnsi="Times New Roman"/>
          <w:color w:val="000000"/>
          <w:sz w:val="20"/>
          <w:lang w:val="es-AR" w:eastAsia="es-ES_tradnl"/>
        </w:rPr>
        <w:t>; y iii) la definición de "inversión" en el</w:t>
      </w:r>
      <w:r w:rsidR="00C940FA" w:rsidRPr="00AB7B88">
        <w:rPr>
          <w:sz w:val="20"/>
          <w:lang w:val="es-AR"/>
        </w:rPr>
        <w:t xml:space="preserve"> </w:t>
      </w:r>
      <w:r w:rsidRPr="00AB7B88">
        <w:rPr>
          <w:rStyle w:val="Bodytext52"/>
          <w:rFonts w:ascii="Times New Roman" w:hAnsi="Times New Roman"/>
          <w:color w:val="000000"/>
          <w:sz w:val="20"/>
          <w:lang w:val="es-AR" w:eastAsia="es-ES_tradnl"/>
        </w:rPr>
        <w:t>TBI</w:t>
      </w:r>
      <w:r w:rsidRPr="00AB7B88">
        <w:rPr>
          <w:rStyle w:val="Bodytext52"/>
          <w:rFonts w:ascii="Times New Roman" w:hAnsi="Times New Roman"/>
          <w:color w:val="000000"/>
          <w:sz w:val="20"/>
          <w:vertAlign w:val="superscript"/>
          <w:lang w:eastAsia="es-ES_tradnl"/>
        </w:rPr>
        <w:footnoteReference w:id="190"/>
      </w:r>
      <w:r w:rsidRPr="00AB7B88">
        <w:rPr>
          <w:rStyle w:val="Bodytext52"/>
          <w:rFonts w:ascii="Times New Roman" w:hAnsi="Times New Roman"/>
          <w:color w:val="000000"/>
          <w:sz w:val="20"/>
          <w:lang w:val="es-AR" w:eastAsia="es-ES_tradnl"/>
        </w:rPr>
        <w:t>.</w:t>
      </w:r>
    </w:p>
    <w:p w14:paraId="5EDF5AE3" w14:textId="77777777" w:rsidR="003B3957" w:rsidRPr="00AB7B88" w:rsidRDefault="003B3957" w:rsidP="006B3AC2">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tercer lugar, los Demandantes ponen de relieve que el TBI es </w:t>
      </w:r>
      <w:r w:rsidRPr="00AB7B88">
        <w:rPr>
          <w:rStyle w:val="Bodytext13125pt"/>
          <w:rFonts w:ascii="Times New Roman" w:hAnsi="Times New Roman"/>
          <w:b w:val="0"/>
          <w:smallCaps w:val="0"/>
          <w:color w:val="000000"/>
          <w:sz w:val="20"/>
          <w:lang w:val="es-AR" w:eastAsia="es-ES_tradnl"/>
        </w:rPr>
        <w:t>lex specialis</w:t>
      </w:r>
      <w:r w:rsidRPr="00AB7B88">
        <w:rPr>
          <w:rStyle w:val="Bodytext52"/>
          <w:rFonts w:ascii="Times New Roman" w:hAnsi="Times New Roman"/>
          <w:color w:val="000000"/>
          <w:sz w:val="20"/>
          <w:lang w:val="es-AR" w:eastAsia="es-ES_tradnl"/>
        </w:rPr>
        <w:t xml:space="preserve"> en este procedimiento y "no contiene un requisito de ’titularidad’, ni define ’inversión’ en términos de ’titularidad’"; en cambio, aplica una definición amplia a "inversiones" protegidas que dispone la "cobertura más amplia posible" y se satisface con los intereses de los Demandantes en el </w:t>
      </w:r>
      <w:r w:rsidRPr="00AB7B88">
        <w:rPr>
          <w:rStyle w:val="Bodytext13125pt"/>
          <w:rFonts w:ascii="Times New Roman" w:hAnsi="Times New Roman"/>
          <w:b w:val="0"/>
          <w:smallCaps w:val="0"/>
          <w:color w:val="000000"/>
          <w:sz w:val="20"/>
          <w:lang w:val="es-AR" w:eastAsia="es-ES_tradnl"/>
        </w:rPr>
        <w:t>Trust</w:t>
      </w:r>
      <w:r w:rsidRPr="00AB7B88">
        <w:rPr>
          <w:rStyle w:val="Bodytext13125pt"/>
          <w:rFonts w:ascii="Times New Roman" w:hAnsi="Times New Roman"/>
          <w:b w:val="0"/>
          <w:smallCaps w:val="0"/>
          <w:color w:val="000000"/>
          <w:sz w:val="20"/>
          <w:vertAlign w:val="superscript"/>
          <w:lang w:eastAsia="es-ES_tradnl"/>
        </w:rPr>
        <w:footnoteReference w:id="191"/>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Los Demandantes sostienen que la Demandada inserta un requisito de "titularidad" en el texto del TBI, lo cual es impermisible por mor de la Convención de Viena sobre el Derecho de los Tratados (la "Convención de Viena")</w:t>
      </w:r>
      <w:r w:rsidRPr="00AB7B88">
        <w:rPr>
          <w:rStyle w:val="Bodytext52"/>
          <w:rFonts w:ascii="Times New Roman" w:hAnsi="Times New Roman"/>
          <w:color w:val="000000"/>
          <w:sz w:val="20"/>
          <w:vertAlign w:val="superscript"/>
          <w:lang w:eastAsia="es-ES_tradnl"/>
        </w:rPr>
        <w:footnoteReference w:id="192"/>
      </w:r>
      <w:r w:rsidRPr="00AB7B88">
        <w:rPr>
          <w:rStyle w:val="Bodytext52"/>
          <w:rFonts w:ascii="Times New Roman" w:hAnsi="Times New Roman"/>
          <w:color w:val="000000"/>
          <w:sz w:val="20"/>
          <w:lang w:val="es-AR" w:eastAsia="es-ES_tradnl"/>
        </w:rPr>
        <w:t>. Los Demandantes añaden que el derecho internacional no respalda la interpretación de la Demandada de "inversión" y, por este motivo, la Demandada intenta erróneamente aplicar el derecho nacional de las Islas Caimán a la presente controversia</w:t>
      </w:r>
      <w:r w:rsidRPr="00AB7B88">
        <w:rPr>
          <w:rStyle w:val="Bodytext52"/>
          <w:rFonts w:ascii="Times New Roman" w:hAnsi="Times New Roman"/>
          <w:color w:val="000000"/>
          <w:sz w:val="20"/>
          <w:vertAlign w:val="superscript"/>
          <w:lang w:eastAsia="es-ES_tradnl"/>
        </w:rPr>
        <w:footnoteReference w:id="193"/>
      </w:r>
      <w:r w:rsidRPr="00AB7B88">
        <w:rPr>
          <w:rStyle w:val="Bodytext52"/>
          <w:rFonts w:ascii="Times New Roman" w:hAnsi="Times New Roman"/>
          <w:color w:val="000000"/>
          <w:sz w:val="20"/>
          <w:lang w:val="es-AR" w:eastAsia="es-ES_tradnl"/>
        </w:rPr>
        <w:t>.</w:t>
      </w:r>
    </w:p>
    <w:p w14:paraId="39AE98FF" w14:textId="77777777" w:rsidR="003B3957" w:rsidRPr="00AB7B88" w:rsidRDefault="003B3957" w:rsidP="006B3AC2">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Según los Demandantes, conforme al derecho internacional, "cuando ciertos [intereses] se dividen entre un titular formal, registrado o legal y partes con un </w:t>
      </w:r>
      <w:r w:rsidRPr="00AB7B88">
        <w:rPr>
          <w:rStyle w:val="Bodytext13125pt"/>
          <w:rFonts w:ascii="Times New Roman" w:hAnsi="Times New Roman"/>
          <w:b w:val="0"/>
          <w:smallCaps w:val="0"/>
          <w:color w:val="000000"/>
          <w:sz w:val="20"/>
          <w:lang w:val="es-AR" w:eastAsia="es-ES_tradnl"/>
        </w:rPr>
        <w:t>beneficial or economic interest,</w:t>
      </w:r>
      <w:r w:rsidRPr="00AB7B88">
        <w:rPr>
          <w:rStyle w:val="Bodytext52"/>
          <w:rFonts w:ascii="Times New Roman" w:hAnsi="Times New Roman"/>
          <w:color w:val="000000"/>
          <w:sz w:val="20"/>
          <w:lang w:val="es-AR" w:eastAsia="es-ES_tradnl"/>
        </w:rPr>
        <w:t xml:space="preserve"> son estas últimas quienes tienen derecho a presentar un reclamo internacional</w:t>
      </w:r>
      <w:r w:rsidRPr="00AB7B88">
        <w:rPr>
          <w:rStyle w:val="Bodytext52"/>
          <w:rFonts w:ascii="Times New Roman" w:hAnsi="Times New Roman"/>
          <w:color w:val="000000"/>
          <w:sz w:val="20"/>
          <w:vertAlign w:val="superscript"/>
          <w:lang w:eastAsia="es-ES_tradnl"/>
        </w:rPr>
        <w:footnoteReference w:id="194"/>
      </w:r>
      <w:r w:rsidRPr="00AB7B88">
        <w:rPr>
          <w:rStyle w:val="Bodytext52"/>
          <w:rFonts w:ascii="Times New Roman" w:hAnsi="Times New Roman"/>
          <w:color w:val="000000"/>
          <w:sz w:val="20"/>
          <w:lang w:val="es-AR" w:eastAsia="es-ES_tradnl"/>
        </w:rPr>
        <w:t>". Los Demandantes aducen que "[históricamente, en el contexto de reclamaciones internacionales, la parte relevante a quien se le reconoce la protección ha sido también el beneficiario de un [interés] más que su titular</w:t>
      </w:r>
      <w:r w:rsidRPr="00AB7B88">
        <w:rPr>
          <w:rStyle w:val="Bodytext52"/>
          <w:rFonts w:ascii="Times New Roman" w:hAnsi="Times New Roman"/>
          <w:color w:val="000000"/>
          <w:sz w:val="20"/>
          <w:vertAlign w:val="superscript"/>
          <w:lang w:eastAsia="es-ES_tradnl"/>
        </w:rPr>
        <w:footnoteReference w:id="195"/>
      </w:r>
      <w:r w:rsidRPr="00AB7B88">
        <w:rPr>
          <w:rStyle w:val="Bodytext52"/>
          <w:rFonts w:ascii="Times New Roman" w:hAnsi="Times New Roman"/>
          <w:color w:val="000000"/>
          <w:sz w:val="20"/>
          <w:lang w:val="es-AR" w:eastAsia="es-ES_tradnl"/>
        </w:rPr>
        <w:t>", un principio tan aceptado a nivel universal que ha cobrado el carácter de una "regla general del derecho internacional</w:t>
      </w:r>
      <w:r w:rsidRPr="00AB7B88">
        <w:rPr>
          <w:rStyle w:val="Bodytext52"/>
          <w:rFonts w:ascii="Times New Roman" w:hAnsi="Times New Roman"/>
          <w:color w:val="000000"/>
          <w:sz w:val="20"/>
          <w:vertAlign w:val="superscript"/>
          <w:lang w:eastAsia="es-ES_tradnl"/>
        </w:rPr>
        <w:footnoteReference w:id="196"/>
      </w:r>
      <w:r w:rsidRPr="00AB7B88">
        <w:rPr>
          <w:rStyle w:val="Bodytext52"/>
          <w:rFonts w:ascii="Times New Roman" w:hAnsi="Times New Roman"/>
          <w:color w:val="000000"/>
          <w:sz w:val="20"/>
          <w:lang w:val="es-AR" w:eastAsia="es-ES_tradnl"/>
        </w:rPr>
        <w:t xml:space="preserve">". Los Demandantes se remiten a las </w:t>
      </w:r>
      <w:r w:rsidRPr="00AB7B88">
        <w:rPr>
          <w:rStyle w:val="Bodytext52"/>
          <w:rFonts w:ascii="Times New Roman" w:hAnsi="Times New Roman"/>
          <w:color w:val="000000"/>
          <w:sz w:val="20"/>
          <w:lang w:val="es-AR" w:eastAsia="es-ES_tradnl"/>
        </w:rPr>
        <w:lastRenderedPageBreak/>
        <w:t xml:space="preserve">decisiones de varios tribunales internacionales que han establecido que cuando la jurisdicción sobre una pretensión es </w:t>
      </w:r>
      <w:r w:rsidRPr="00AB7B88">
        <w:rPr>
          <w:rStyle w:val="Bodytext13125pt"/>
          <w:rFonts w:ascii="Times New Roman" w:hAnsi="Times New Roman"/>
          <w:b w:val="0"/>
          <w:i w:val="0"/>
          <w:smallCaps w:val="0"/>
          <w:color w:val="000000"/>
          <w:sz w:val="20"/>
          <w:lang w:val="es-AR" w:eastAsia="es-ES_tradnl"/>
        </w:rPr>
        <w:t>determinada por la nacionalidad del inversor, la nacionalidad pertinente fue la de individuos con</w:t>
      </w:r>
      <w:r w:rsidRPr="00AB7B88">
        <w:rPr>
          <w:rStyle w:val="Bodytext13125pt"/>
          <w:rFonts w:ascii="Times New Roman" w:hAnsi="Times New Roman"/>
          <w:b w:val="0"/>
          <w:smallCaps w:val="0"/>
          <w:color w:val="000000"/>
          <w:sz w:val="20"/>
          <w:lang w:val="es-AR" w:eastAsia="es-ES_tradnl"/>
        </w:rPr>
        <w:t xml:space="preserve"> beneficial interests</w:t>
      </w:r>
      <w:r w:rsidRPr="00AB7B88">
        <w:rPr>
          <w:rStyle w:val="Bodytext13125pt"/>
          <w:rFonts w:ascii="Times New Roman" w:hAnsi="Times New Roman"/>
          <w:b w:val="0"/>
          <w:i w:val="0"/>
          <w:smallCaps w:val="0"/>
          <w:color w:val="000000"/>
          <w:sz w:val="20"/>
          <w:lang w:val="es-AR" w:eastAsia="es-ES_tradnl"/>
        </w:rPr>
        <w:t>, y</w:t>
      </w:r>
      <w:r w:rsidRPr="00AB7B88">
        <w:rPr>
          <w:rStyle w:val="Bodytext52"/>
          <w:rFonts w:ascii="Times New Roman" w:hAnsi="Times New Roman"/>
          <w:color w:val="000000"/>
          <w:sz w:val="20"/>
          <w:lang w:val="es-AR" w:eastAsia="es-ES_tradnl"/>
        </w:rPr>
        <w:t xml:space="preserve"> no con pretensiones de titularidad directa, de los bienes para los cuales se procuraba protección</w:t>
      </w:r>
      <w:r w:rsidRPr="00AB7B88">
        <w:rPr>
          <w:rStyle w:val="Bodytext52"/>
          <w:rFonts w:ascii="Times New Roman" w:hAnsi="Times New Roman"/>
          <w:color w:val="000000"/>
          <w:sz w:val="20"/>
          <w:vertAlign w:val="superscript"/>
          <w:lang w:eastAsia="es-ES_tradnl"/>
        </w:rPr>
        <w:footnoteReference w:id="197"/>
      </w:r>
      <w:r w:rsidRPr="00AB7B88">
        <w:rPr>
          <w:rStyle w:val="Bodytext52"/>
          <w:rFonts w:ascii="Times New Roman" w:hAnsi="Times New Roman"/>
          <w:color w:val="000000"/>
          <w:sz w:val="20"/>
          <w:lang w:val="es-AR" w:eastAsia="es-ES_tradnl"/>
        </w:rPr>
        <w:t>.</w:t>
      </w:r>
    </w:p>
    <w:p w14:paraId="7A304301"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Los Demandantes añaden que la jurisprudencia de los tribunales internacionales confirma que los </w:t>
      </w:r>
      <w:r w:rsidRPr="00AB7B88">
        <w:rPr>
          <w:rStyle w:val="Bodytext13125pt"/>
          <w:rFonts w:ascii="Times New Roman" w:hAnsi="Times New Roman"/>
          <w:b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o inversores con </w:t>
      </w:r>
      <w:r w:rsidRPr="00AB7B88">
        <w:rPr>
          <w:rStyle w:val="Bodytext13125pt"/>
          <w:rFonts w:ascii="Times New Roman" w:hAnsi="Times New Roman"/>
          <w:b w:val="0"/>
          <w:smallCaps w:val="0"/>
          <w:color w:val="000000"/>
          <w:sz w:val="20"/>
          <w:lang w:val="es-AR" w:eastAsia="es-ES_tradnl"/>
        </w:rPr>
        <w:t>beneficial interests</w:t>
      </w:r>
      <w:r w:rsidRPr="00AB7B88">
        <w:rPr>
          <w:rStyle w:val="Bodytext52"/>
          <w:rFonts w:ascii="Times New Roman" w:hAnsi="Times New Roman"/>
          <w:color w:val="000000"/>
          <w:sz w:val="20"/>
          <w:lang w:val="es-AR" w:eastAsia="es-ES_tradnl"/>
        </w:rPr>
        <w:t xml:space="preserve"> tienen el derecho, al amparo del derecho </w:t>
      </w:r>
      <w:r w:rsidRPr="00AB7B88">
        <w:rPr>
          <w:rStyle w:val="Bodytext13125pt"/>
          <w:rFonts w:ascii="Times New Roman" w:hAnsi="Times New Roman"/>
          <w:b w:val="0"/>
          <w:i w:val="0"/>
          <w:smallCaps w:val="0"/>
          <w:color w:val="000000"/>
          <w:sz w:val="20"/>
          <w:lang w:val="es-AR" w:eastAsia="es-ES_tradnl"/>
        </w:rPr>
        <w:t xml:space="preserve">internacional, de plantear pretensiones compensatorias por la expropiación o la privación de los </w:t>
      </w:r>
      <w:r w:rsidRPr="00AB7B88">
        <w:rPr>
          <w:rStyle w:val="Bodytext52"/>
          <w:rFonts w:ascii="Times New Roman" w:hAnsi="Times New Roman"/>
          <w:color w:val="000000"/>
          <w:sz w:val="20"/>
          <w:lang w:val="es-AR" w:eastAsia="es-ES_tradnl"/>
        </w:rPr>
        <w:t>bienes de los que derivan el beneficio</w:t>
      </w:r>
      <w:r w:rsidRPr="00AB7B88">
        <w:rPr>
          <w:rStyle w:val="Bodytext52"/>
          <w:rFonts w:ascii="Times New Roman" w:hAnsi="Times New Roman"/>
          <w:color w:val="000000"/>
          <w:sz w:val="20"/>
          <w:vertAlign w:val="superscript"/>
          <w:lang w:eastAsia="es-ES_tradnl"/>
        </w:rPr>
        <w:footnoteReference w:id="198"/>
      </w:r>
      <w:r w:rsidRPr="00AB7B88">
        <w:rPr>
          <w:rStyle w:val="Bodytext52"/>
          <w:rFonts w:ascii="Times New Roman" w:hAnsi="Times New Roman"/>
          <w:color w:val="000000"/>
          <w:sz w:val="20"/>
          <w:lang w:val="es-AR" w:eastAsia="es-ES_tradnl"/>
        </w:rPr>
        <w:t>, como es el caso del Tribunal de Reclamaciones Irán- Estados Unidos (el "IUSCT", por sus siglas en inglés)</w:t>
      </w:r>
      <w:r w:rsidRPr="00AB7B88">
        <w:rPr>
          <w:rStyle w:val="Bodytext52"/>
          <w:rFonts w:ascii="Times New Roman" w:hAnsi="Times New Roman"/>
          <w:color w:val="000000"/>
          <w:sz w:val="20"/>
          <w:vertAlign w:val="superscript"/>
          <w:lang w:eastAsia="es-ES_tradnl"/>
        </w:rPr>
        <w:footnoteReference w:id="199"/>
      </w:r>
      <w:r w:rsidRPr="00AB7B88">
        <w:rPr>
          <w:rStyle w:val="Bodytext52"/>
          <w:rFonts w:ascii="Times New Roman" w:hAnsi="Times New Roman"/>
          <w:color w:val="000000"/>
          <w:sz w:val="20"/>
          <w:lang w:val="es-AR" w:eastAsia="es-ES_tradnl"/>
        </w:rPr>
        <w:t xml:space="preserve"> y los tribunales de inversión</w:t>
      </w:r>
      <w:r w:rsidRPr="00AB7B88">
        <w:rPr>
          <w:rStyle w:val="Bodytext52"/>
          <w:rFonts w:ascii="Times New Roman" w:hAnsi="Times New Roman"/>
          <w:color w:val="000000"/>
          <w:sz w:val="20"/>
          <w:vertAlign w:val="superscript"/>
          <w:lang w:eastAsia="es-ES_tradnl"/>
        </w:rPr>
        <w:footnoteReference w:id="200"/>
      </w:r>
      <w:r w:rsidRPr="00AB7B88">
        <w:rPr>
          <w:rStyle w:val="Bodytext52"/>
          <w:rFonts w:ascii="Times New Roman" w:hAnsi="Times New Roman"/>
          <w:color w:val="000000"/>
          <w:sz w:val="20"/>
          <w:lang w:val="es-AR" w:eastAsia="es-ES_tradnl"/>
        </w:rPr>
        <w:t xml:space="preserve">. Los Demandantes rechazan que la Demandada pueda apoyarse en </w:t>
      </w:r>
      <w:r w:rsidRPr="00AB7B88">
        <w:rPr>
          <w:rStyle w:val="Bodytext13125pt"/>
          <w:rFonts w:ascii="Times New Roman" w:hAnsi="Times New Roman"/>
          <w:b w:val="0"/>
          <w:smallCaps w:val="0"/>
          <w:color w:val="000000"/>
          <w:sz w:val="20"/>
          <w:lang w:val="es-AR" w:eastAsia="es-ES_tradnl"/>
        </w:rPr>
        <w:t>Benhamou c. Uruguay,</w:t>
      </w:r>
      <w:r w:rsidRPr="00AB7B88">
        <w:rPr>
          <w:rStyle w:val="Bodytext52"/>
          <w:rFonts w:ascii="Times New Roman" w:hAnsi="Times New Roman"/>
          <w:color w:val="000000"/>
          <w:sz w:val="20"/>
          <w:lang w:val="es-AR" w:eastAsia="es-ES_tradnl"/>
        </w:rPr>
        <w:t xml:space="preserve"> la cual, sostienen, difiere de la presente controversia en aspectos determinantes</w:t>
      </w:r>
      <w:r w:rsidR="00F21F41" w:rsidRPr="00AB7B88">
        <w:rPr>
          <w:rStyle w:val="FootnoteReference"/>
          <w:rFonts w:cs="Palatino Linotype"/>
          <w:color w:val="000000"/>
          <w:sz w:val="20"/>
          <w:szCs w:val="19"/>
          <w:lang w:val="es-AR" w:eastAsia="es-ES_tradnl"/>
        </w:rPr>
        <w:footnoteReference w:id="201"/>
      </w:r>
      <w:r w:rsidRPr="00AB7B88">
        <w:rPr>
          <w:rStyle w:val="Bodytext52"/>
          <w:rFonts w:ascii="Times New Roman" w:hAnsi="Times New Roman"/>
          <w:color w:val="000000"/>
          <w:sz w:val="20"/>
          <w:lang w:val="es-AR" w:eastAsia="es-ES_tradnl"/>
        </w:rPr>
        <w:t>.</w:t>
      </w:r>
    </w:p>
    <w:p w14:paraId="28876B6F"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resumen, los Demandantes concluyen que los principios jurídicos internacionales "han favorecido inequívocamente al titular de un </w:t>
      </w:r>
      <w:r w:rsidRPr="00AB7B88">
        <w:rPr>
          <w:rStyle w:val="Bodytext13125pt"/>
          <w:rFonts w:ascii="Times New Roman" w:hAnsi="Times New Roman"/>
          <w:b w:val="0"/>
          <w:smallCaps w:val="0"/>
          <w:color w:val="000000"/>
          <w:sz w:val="20"/>
          <w:lang w:val="es-AR" w:eastAsia="es-ES_tradnl"/>
        </w:rPr>
        <w:t>economic orbeneficial interest</w:t>
      </w:r>
      <w:r w:rsidRPr="00AB7B88">
        <w:rPr>
          <w:rStyle w:val="Bodytext52"/>
          <w:rFonts w:ascii="Times New Roman" w:hAnsi="Times New Roman"/>
          <w:color w:val="000000"/>
          <w:sz w:val="20"/>
          <w:lang w:val="es-AR" w:eastAsia="es-ES_tradnl"/>
        </w:rPr>
        <w:t xml:space="preserve"> frente al titular de un título formal o legal a los efectos de lajurisdicción y de la legitimación para interponer un reclamo internacional</w:t>
      </w:r>
      <w:r w:rsidR="00FA27EE" w:rsidRPr="00AB7B88">
        <w:rPr>
          <w:rStyle w:val="FootnoteReference"/>
          <w:rFonts w:cs="Palatino Linotype"/>
          <w:color w:val="000000"/>
          <w:sz w:val="20"/>
          <w:szCs w:val="19"/>
          <w:lang w:val="es-AR" w:eastAsia="es-ES_tradnl"/>
        </w:rPr>
        <w:footnoteReference w:id="202"/>
      </w:r>
      <w:r w:rsidRPr="00AB7B88">
        <w:rPr>
          <w:rStyle w:val="Bodytext52"/>
          <w:rFonts w:ascii="Times New Roman" w:hAnsi="Times New Roman"/>
          <w:color w:val="000000"/>
          <w:sz w:val="20"/>
          <w:lang w:val="es-AR" w:eastAsia="es-ES_tradnl"/>
        </w:rPr>
        <w:t>". En consecuencia, este Tribunal debe determinar si los Demandantes tienen "un</w:t>
      </w:r>
      <w:r w:rsidR="00D83BD7" w:rsidRPr="00AB7B88">
        <w:rPr>
          <w:sz w:val="20"/>
          <w:lang w:val="es-AR"/>
        </w:rPr>
        <w:t xml:space="preserve"> </w:t>
      </w:r>
      <w:r w:rsidRPr="00AB7B88">
        <w:rPr>
          <w:rStyle w:val="Bodytext13125pt"/>
          <w:rFonts w:ascii="Times New Roman" w:hAnsi="Times New Roman"/>
          <w:b w:val="0"/>
          <w:smallCaps w:val="0"/>
          <w:color w:val="000000"/>
          <w:sz w:val="20"/>
          <w:lang w:val="es-AR" w:eastAsia="es-ES_tradnl"/>
        </w:rPr>
        <w:t>economic or beneficial interest"</w:t>
      </w:r>
      <w:r w:rsidRPr="00AB7B88">
        <w:rPr>
          <w:rStyle w:val="Bodytext52"/>
          <w:rFonts w:ascii="Times New Roman" w:hAnsi="Times New Roman"/>
          <w:color w:val="000000"/>
          <w:sz w:val="20"/>
          <w:lang w:val="es-AR" w:eastAsia="es-ES_tradnl"/>
        </w:rPr>
        <w:t xml:space="preserve"> </w:t>
      </w:r>
      <w:r w:rsidRPr="00AB7B88">
        <w:rPr>
          <w:rStyle w:val="Bodytext52"/>
          <w:rFonts w:ascii="Times New Roman" w:hAnsi="Times New Roman"/>
          <w:color w:val="000000"/>
          <w:sz w:val="20"/>
          <w:lang w:val="es-AR" w:eastAsia="es-ES_tradnl"/>
        </w:rPr>
        <w:lastRenderedPageBreak/>
        <w:t xml:space="preserve">en los bienes del Proyecto Valentines que conforman el </w:t>
      </w:r>
      <w:r w:rsidRPr="00AB7B88">
        <w:rPr>
          <w:rStyle w:val="Bodytext13125pt"/>
          <w:rFonts w:ascii="Times New Roman" w:hAnsi="Times New Roman"/>
          <w:b w:val="0"/>
          <w:smallCaps w:val="0"/>
          <w:color w:val="000000"/>
          <w:sz w:val="20"/>
          <w:lang w:val="es-AR" w:eastAsia="es-ES_tradnl"/>
        </w:rPr>
        <w:t>Trust</w:t>
      </w:r>
      <w:r w:rsidR="00BA5A0D" w:rsidRPr="00AB7B88">
        <w:rPr>
          <w:rStyle w:val="FootnoteReference"/>
          <w:rFonts w:cs="Angsana New"/>
          <w:bCs/>
          <w:i/>
          <w:iCs/>
          <w:color w:val="000000"/>
          <w:sz w:val="20"/>
          <w:szCs w:val="25"/>
          <w:shd w:val="clear" w:color="auto" w:fill="FFFFFF"/>
          <w:lang w:val="es-AR" w:eastAsia="es-ES_tradnl"/>
        </w:rPr>
        <w:footnoteReference w:id="203"/>
      </w:r>
      <w:r w:rsidRPr="00AB7B88">
        <w:rPr>
          <w:rStyle w:val="Bodytext13125pt"/>
          <w:rFonts w:ascii="Times New Roman" w:hAnsi="Times New Roman"/>
          <w:b w:val="0"/>
          <w:i w:val="0"/>
          <w:smallCaps w:val="0"/>
          <w:color w:val="000000"/>
          <w:sz w:val="20"/>
          <w:lang w:val="es-AR" w:eastAsia="es-ES_tradnl"/>
        </w:rPr>
        <w:t>.</w:t>
      </w:r>
    </w:p>
    <w:p w14:paraId="6E3154B8" w14:textId="77777777" w:rsidR="003B3957" w:rsidRPr="00AB7B88" w:rsidRDefault="003B3957" w:rsidP="001228EE">
      <w:pPr>
        <w:pStyle w:val="Heading20"/>
        <w:keepNext/>
        <w:keepLines/>
        <w:numPr>
          <w:ilvl w:val="0"/>
          <w:numId w:val="46"/>
        </w:numPr>
        <w:shd w:val="clear" w:color="auto" w:fill="auto"/>
        <w:tabs>
          <w:tab w:val="left" w:pos="340"/>
        </w:tabs>
        <w:spacing w:before="380" w:after="0" w:line="360" w:lineRule="auto"/>
        <w:ind w:firstLine="0"/>
        <w:rPr>
          <w:rFonts w:ascii="Times New Roman" w:hAnsi="Times New Roman"/>
          <w:b w:val="0"/>
          <w:sz w:val="20"/>
          <w:lang w:val="es-AR"/>
        </w:rPr>
      </w:pPr>
      <w:bookmarkStart w:id="82" w:name="bookmark83"/>
      <w:bookmarkStart w:id="83" w:name="bookmark84"/>
      <w:r w:rsidRPr="00AB7B88">
        <w:rPr>
          <w:rStyle w:val="Heading2"/>
          <w:rFonts w:ascii="Times New Roman" w:hAnsi="Times New Roman"/>
          <w:b/>
          <w:color w:val="000000"/>
          <w:sz w:val="20"/>
          <w:lang w:val="es-AR" w:eastAsia="es-ES_tradnl"/>
        </w:rPr>
        <w:t xml:space="preserve">La relación jurídica entre los Demandantes y los bienes del </w:t>
      </w:r>
      <w:r w:rsidRPr="00AB7B88">
        <w:rPr>
          <w:rStyle w:val="Bodytext145pt"/>
          <w:rFonts w:ascii="Times New Roman" w:eastAsia="Calibri" w:hAnsi="Times New Roman"/>
          <w:b/>
          <w:bCs/>
          <w:smallCaps w:val="0"/>
          <w:color w:val="000000"/>
          <w:sz w:val="20"/>
          <w:lang w:val="es-AR" w:eastAsia="es-ES_tradnl"/>
        </w:rPr>
        <w:t>Trust</w:t>
      </w:r>
      <w:bookmarkEnd w:id="82"/>
      <w:bookmarkEnd w:id="83"/>
    </w:p>
    <w:p w14:paraId="758BF70C"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Los Demandantes rechazan el argumento de la Demandada según el cual los Demandantes no pueden afirmar un </w:t>
      </w:r>
      <w:r w:rsidRPr="00AB7B88">
        <w:rPr>
          <w:rStyle w:val="Bodytext13125pt"/>
          <w:rFonts w:ascii="Times New Roman" w:hAnsi="Times New Roman"/>
          <w:b w:val="0"/>
          <w:smallCaps w:val="0"/>
          <w:color w:val="000000"/>
          <w:sz w:val="20"/>
          <w:lang w:val="es-AR" w:eastAsia="es-ES_tradnl"/>
        </w:rPr>
        <w:t>beneficial interest</w:t>
      </w:r>
      <w:r w:rsidRPr="00AB7B88">
        <w:rPr>
          <w:rStyle w:val="Bodytext52"/>
          <w:rFonts w:ascii="Times New Roman" w:hAnsi="Times New Roman"/>
          <w:color w:val="000000"/>
          <w:sz w:val="20"/>
          <w:lang w:val="es-AR" w:eastAsia="es-ES_tradnl"/>
        </w:rPr>
        <w:t xml:space="preserve"> en los bienes uruguayos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porque son algunos de los varios Beneficiarios nombrados en el </w:t>
      </w:r>
      <w:r w:rsidRPr="00AB7B88">
        <w:rPr>
          <w:rStyle w:val="Bodytext13125pt"/>
          <w:rFonts w:ascii="Times New Roman" w:hAnsi="Times New Roman"/>
          <w:b w:val="0"/>
          <w:smallCaps w:val="0"/>
          <w:color w:val="000000"/>
          <w:sz w:val="20"/>
          <w:lang w:val="es-AR" w:eastAsia="es-ES_tradnl"/>
        </w:rPr>
        <w:t>Trust</w:t>
      </w:r>
      <w:r w:rsidR="00F21F41" w:rsidRPr="00AB7B88">
        <w:rPr>
          <w:rStyle w:val="FootnoteReference"/>
          <w:rFonts w:cs="Angsana New"/>
          <w:bCs/>
          <w:i/>
          <w:iCs/>
          <w:color w:val="000000"/>
          <w:sz w:val="20"/>
          <w:szCs w:val="25"/>
          <w:shd w:val="clear" w:color="auto" w:fill="FFFFFF"/>
          <w:lang w:val="es-AR" w:eastAsia="es-ES_tradnl"/>
        </w:rPr>
        <w:footnoteReference w:id="204"/>
      </w:r>
      <w:r w:rsidRPr="00AB7B88">
        <w:rPr>
          <w:rStyle w:val="Bodytext13125pt"/>
          <w:rFonts w:ascii="Times New Roman" w:hAnsi="Times New Roman"/>
          <w:b w:val="0"/>
          <w:i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Los Demandante constatan que en la cláusula 2.1 de la escritura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se establece que los "Beneficiarios" incluirán a las personas que sean incorporadas por el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conforme a la cláusula 19 y "una organización benéfica". Sin embargo, los Demandantes sostienen que estas "son solo disposiciones modelo o estándar en un </w:t>
      </w:r>
      <w:r w:rsidRPr="00AB7B88">
        <w:rPr>
          <w:rStyle w:val="Bodytext13125pt"/>
          <w:rFonts w:ascii="Times New Roman" w:hAnsi="Times New Roman"/>
          <w:b w:val="0"/>
          <w:smallCaps w:val="0"/>
          <w:color w:val="000000"/>
          <w:sz w:val="20"/>
          <w:lang w:val="es-AR" w:eastAsia="es-ES_tradnl"/>
        </w:rPr>
        <w:t>discretionary trust</w:t>
      </w:r>
      <w:r w:rsidRPr="00AB7B88">
        <w:rPr>
          <w:rStyle w:val="Bodytext52"/>
          <w:rFonts w:ascii="Times New Roman" w:hAnsi="Times New Roman"/>
          <w:color w:val="000000"/>
          <w:sz w:val="20"/>
          <w:lang w:val="es-AR" w:eastAsia="es-ES_tradnl"/>
        </w:rPr>
        <w:t xml:space="preserve"> de las Islas Caimán que nunca se pretendió aplicar - y, lo que es más importante, nunca se aplicaron - en este caso</w:t>
      </w:r>
      <w:r w:rsidRPr="00AB7B88">
        <w:rPr>
          <w:rStyle w:val="Bodytext52"/>
          <w:rFonts w:ascii="Times New Roman" w:hAnsi="Times New Roman"/>
          <w:color w:val="000000"/>
          <w:sz w:val="20"/>
          <w:vertAlign w:val="superscript"/>
          <w:lang w:eastAsia="es-ES_tradnl"/>
        </w:rPr>
        <w:footnoteReference w:id="205"/>
      </w:r>
      <w:r w:rsidRPr="00AB7B88">
        <w:rPr>
          <w:rStyle w:val="Bodytext52"/>
          <w:rFonts w:ascii="Times New Roman" w:hAnsi="Times New Roman"/>
          <w:color w:val="000000"/>
          <w:sz w:val="20"/>
          <w:lang w:val="es-AR" w:eastAsia="es-ES_tradnl"/>
        </w:rPr>
        <w:t xml:space="preserve">". Los Demandantes señalan que nunca se recurrió, ni se podría haber recurrido, a estas disposiciones en la administración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dado que todas las adiciones o decisiones de distribución requerían del consentimiento del Sr. Agarwal y del Protector del </w:t>
      </w:r>
      <w:r w:rsidRPr="00AB7B88">
        <w:rPr>
          <w:rStyle w:val="Bodytext13125pt"/>
          <w:rFonts w:ascii="Times New Roman" w:hAnsi="Times New Roman"/>
          <w:b w:val="0"/>
          <w:smallCaps w:val="0"/>
          <w:color w:val="000000"/>
          <w:sz w:val="20"/>
          <w:lang w:val="es-AR" w:eastAsia="es-ES_tradnl"/>
        </w:rPr>
        <w:t>Trust</w:t>
      </w:r>
      <w:r w:rsidRPr="00AB7B88">
        <w:rPr>
          <w:rStyle w:val="Bodytext13125pt"/>
          <w:rFonts w:ascii="Times New Roman" w:hAnsi="Times New Roman"/>
          <w:b w:val="0"/>
          <w:smallCaps w:val="0"/>
          <w:color w:val="000000"/>
          <w:sz w:val="20"/>
          <w:vertAlign w:val="superscript"/>
          <w:lang w:eastAsia="es-ES_tradnl"/>
        </w:rPr>
        <w:footnoteReference w:id="206"/>
      </w:r>
      <w:r w:rsidRPr="00AB7B88">
        <w:rPr>
          <w:rStyle w:val="Bodytext13125pt"/>
          <w:rFonts w:ascii="Times New Roman" w:hAnsi="Times New Roman"/>
          <w:b w:val="0"/>
          <w:smallCaps w:val="0"/>
          <w:color w:val="000000"/>
          <w:sz w:val="20"/>
          <w:lang w:val="es-AR" w:eastAsia="es-ES_tradnl"/>
        </w:rPr>
        <w:t>.</w:t>
      </w:r>
    </w:p>
    <w:p w14:paraId="15919042"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Los Demandantes sostienen que la Carta de Deseos demuestra que el Sr. Agarwal tuvo la intención, al constituir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de "que el Proyecto Valentines beneficiaría a sus hijos</w:t>
      </w:r>
      <w:r w:rsidRPr="00AB7B88">
        <w:rPr>
          <w:rStyle w:val="Bodytext52"/>
          <w:rFonts w:ascii="Times New Roman" w:hAnsi="Times New Roman"/>
          <w:color w:val="000000"/>
          <w:sz w:val="20"/>
          <w:vertAlign w:val="superscript"/>
          <w:lang w:eastAsia="es-ES_tradnl"/>
        </w:rPr>
        <w:footnoteReference w:id="207"/>
      </w:r>
      <w:r w:rsidRPr="00AB7B88">
        <w:rPr>
          <w:rStyle w:val="Bodytext52"/>
          <w:rFonts w:ascii="Times New Roman" w:hAnsi="Times New Roman"/>
          <w:color w:val="000000"/>
          <w:sz w:val="20"/>
          <w:lang w:val="es-AR" w:eastAsia="es-ES_tradnl"/>
        </w:rPr>
        <w:t xml:space="preserve">", y estructuró el </w:t>
      </w:r>
      <w:r w:rsidRPr="00AB7B88">
        <w:rPr>
          <w:rStyle w:val="Bodytext13125pt"/>
          <w:rFonts w:ascii="Times New Roman" w:hAnsi="Times New Roman"/>
          <w:b w:val="0"/>
          <w:smallCaps w:val="0"/>
          <w:color w:val="000000"/>
          <w:sz w:val="20"/>
          <w:lang w:val="es-AR" w:eastAsia="es-ES_tradnl"/>
        </w:rPr>
        <w:t xml:space="preserve">Trust </w:t>
      </w:r>
      <w:r w:rsidRPr="00AB7B88">
        <w:rPr>
          <w:rStyle w:val="Bodytext52"/>
          <w:rFonts w:ascii="Times New Roman" w:hAnsi="Times New Roman"/>
          <w:color w:val="000000"/>
          <w:sz w:val="20"/>
          <w:lang w:val="es-AR" w:eastAsia="es-ES_tradnl"/>
        </w:rPr>
        <w:t xml:space="preserve">para crear un </w:t>
      </w:r>
      <w:r w:rsidRPr="00AB7B88">
        <w:rPr>
          <w:rStyle w:val="Bodytext13125pt"/>
          <w:rFonts w:ascii="Times New Roman" w:hAnsi="Times New Roman"/>
          <w:b w:val="0"/>
          <w:smallCaps w:val="0"/>
          <w:color w:val="000000"/>
          <w:sz w:val="20"/>
          <w:lang w:val="es-AR" w:eastAsia="es-ES_tradnl"/>
        </w:rPr>
        <w:t>beneficial interest</w:t>
      </w:r>
      <w:r w:rsidRPr="00AB7B88">
        <w:rPr>
          <w:rStyle w:val="Bodytext52"/>
          <w:rFonts w:ascii="Times New Roman" w:hAnsi="Times New Roman"/>
          <w:color w:val="000000"/>
          <w:sz w:val="20"/>
          <w:lang w:val="es-AR" w:eastAsia="es-ES_tradnl"/>
        </w:rPr>
        <w:t xml:space="preserve"> para los Demandantes en dicho Proyecto. Los Demandantes postulan que esta intención no se desprende únicamente del texto de la Carta de Deseos, sino también de la distribución de los beneficios de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Según los Demandantes,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Unicamente distribuyó los bienes brasileños (es decir, las sumas líquidas de la venta de BML) y solo lo hizo en favor del Sr. y de la Sra. Agarwal;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jamás distribuyó ninguno de los bienes no brasileños ilíquidos</w:t>
      </w:r>
      <w:r w:rsidRPr="00AB7B88">
        <w:rPr>
          <w:rStyle w:val="Bodytext52"/>
          <w:rFonts w:ascii="Times New Roman" w:hAnsi="Times New Roman"/>
          <w:color w:val="000000"/>
          <w:sz w:val="20"/>
          <w:vertAlign w:val="superscript"/>
          <w:lang w:eastAsia="es-ES_tradnl"/>
        </w:rPr>
        <w:footnoteReference w:id="208"/>
      </w:r>
      <w:r w:rsidRPr="00AB7B88">
        <w:rPr>
          <w:rStyle w:val="Bodytext52"/>
          <w:rFonts w:ascii="Times New Roman" w:hAnsi="Times New Roman"/>
          <w:color w:val="000000"/>
          <w:sz w:val="20"/>
          <w:lang w:val="es-AR" w:eastAsia="es-ES_tradnl"/>
        </w:rPr>
        <w:t>".</w:t>
      </w:r>
    </w:p>
    <w:p w14:paraId="0C57E210"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Los Demandantes añaden que en la Carta de Deseos se esbozan expresamente las instrucciones para la distribución de los beneficios derivados de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tomando así innecesarias la aplicación de las </w:t>
      </w:r>
      <w:r w:rsidRPr="00AB7B88">
        <w:rPr>
          <w:rStyle w:val="Bodytext52"/>
          <w:rFonts w:ascii="Times New Roman" w:hAnsi="Times New Roman"/>
          <w:color w:val="000000"/>
          <w:sz w:val="20"/>
          <w:lang w:val="es-AR" w:eastAsia="es-ES_tradnl"/>
        </w:rPr>
        <w:lastRenderedPageBreak/>
        <w:t>disposiciones de la cláusula 19 o la posibilidad de distribución a una organización benéfica</w:t>
      </w:r>
      <w:r w:rsidRPr="00AB7B88">
        <w:rPr>
          <w:rStyle w:val="Bodytext52"/>
          <w:rFonts w:ascii="Times New Roman" w:hAnsi="Times New Roman"/>
          <w:color w:val="000000"/>
          <w:sz w:val="20"/>
          <w:vertAlign w:val="superscript"/>
          <w:lang w:eastAsia="es-ES_tradnl"/>
        </w:rPr>
        <w:footnoteReference w:id="209"/>
      </w:r>
      <w:r w:rsidRPr="00AB7B88">
        <w:rPr>
          <w:rStyle w:val="Bodytext52"/>
          <w:rFonts w:ascii="Times New Roman" w:hAnsi="Times New Roman"/>
          <w:color w:val="000000"/>
          <w:sz w:val="20"/>
          <w:lang w:val="es-AR" w:eastAsia="es-ES_tradnl"/>
        </w:rPr>
        <w:t xml:space="preserve">. Tanto el Sr. Jiwarajka como el Sr. Mehta, antiguos Directores de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confirman que este era su entendimiento expreso de la estructura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y que se consideraban obligados por los términos de la Carta de Deseos</w:t>
      </w:r>
      <w:r w:rsidRPr="00AB7B88">
        <w:rPr>
          <w:rStyle w:val="Bodytext52"/>
          <w:rFonts w:ascii="Times New Roman" w:hAnsi="Times New Roman"/>
          <w:color w:val="000000"/>
          <w:sz w:val="20"/>
          <w:vertAlign w:val="superscript"/>
          <w:lang w:eastAsia="es-ES_tradnl"/>
        </w:rPr>
        <w:footnoteReference w:id="210"/>
      </w:r>
      <w:r w:rsidRPr="00AB7B88">
        <w:rPr>
          <w:rStyle w:val="Bodytext52"/>
          <w:rFonts w:ascii="Times New Roman" w:hAnsi="Times New Roman"/>
          <w:color w:val="000000"/>
          <w:sz w:val="20"/>
          <w:lang w:val="es-AR" w:eastAsia="es-ES_tradnl"/>
        </w:rPr>
        <w:t>.</w:t>
      </w:r>
    </w:p>
    <w:p w14:paraId="22882820" w14:textId="77777777" w:rsidR="003B3957" w:rsidRPr="00AB7B88" w:rsidRDefault="003B3957" w:rsidP="006B3AC2">
      <w:pPr>
        <w:pStyle w:val="Bodytext1"/>
        <w:numPr>
          <w:ilvl w:val="0"/>
          <w:numId w:val="41"/>
        </w:numPr>
        <w:shd w:val="clear" w:color="auto" w:fill="auto"/>
        <w:tabs>
          <w:tab w:val="left" w:pos="758"/>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Con respecto al argumento de la Demandada que la Carta de Deseos es una nota manuscrita carente de poder vinculante respecto de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los Demandantes contestan que "es común en la práctica que un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de un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transmita sus expectativas en una carta de instrucciones", y no hay requisitos en cuanto al formato de esas cartas para que sean válidas</w:t>
      </w:r>
      <w:r w:rsidRPr="00AB7B88">
        <w:rPr>
          <w:rStyle w:val="Bodytext52"/>
          <w:rFonts w:ascii="Times New Roman" w:hAnsi="Times New Roman"/>
          <w:color w:val="000000"/>
          <w:sz w:val="20"/>
          <w:vertAlign w:val="superscript"/>
          <w:lang w:eastAsia="es-ES_tradnl"/>
        </w:rPr>
        <w:footnoteReference w:id="211"/>
      </w:r>
      <w:r w:rsidRPr="00AB7B88">
        <w:rPr>
          <w:rStyle w:val="Bodytext52"/>
          <w:rFonts w:ascii="Times New Roman" w:hAnsi="Times New Roman"/>
          <w:color w:val="000000"/>
          <w:sz w:val="20"/>
          <w:lang w:val="es-AR" w:eastAsia="es-ES_tradnl"/>
        </w:rPr>
        <w:t>. Los Demandantes mencionan que "[a] simple vista, la carta de deseos fue la piedra angular sobre la cual el Sr. Agarwal le confió la función de Protector al Sr. Jiwarajka, y sobre la que este último asumió el cargo</w:t>
      </w:r>
      <w:r w:rsidRPr="00AB7B88">
        <w:rPr>
          <w:rStyle w:val="Bodytext52"/>
          <w:rFonts w:ascii="Times New Roman" w:hAnsi="Times New Roman"/>
          <w:color w:val="000000"/>
          <w:sz w:val="20"/>
          <w:vertAlign w:val="superscript"/>
          <w:lang w:eastAsia="es-ES_tradnl"/>
        </w:rPr>
        <w:footnoteReference w:id="212"/>
      </w:r>
      <w:r w:rsidRPr="00AB7B88">
        <w:rPr>
          <w:rStyle w:val="Bodytext52"/>
          <w:rFonts w:ascii="Times New Roman" w:hAnsi="Times New Roman"/>
          <w:color w:val="000000"/>
          <w:sz w:val="20"/>
          <w:lang w:val="es-AR" w:eastAsia="es-ES_tradnl"/>
        </w:rPr>
        <w:t>" y, como resultado, la Carta de Deseos era vinculante para el Sr. Jiwarajka y sus sucesores</w:t>
      </w:r>
      <w:r w:rsidRPr="00AB7B88">
        <w:rPr>
          <w:rStyle w:val="Bodytext52"/>
          <w:rFonts w:ascii="Times New Roman" w:hAnsi="Times New Roman"/>
          <w:color w:val="000000"/>
          <w:sz w:val="20"/>
          <w:vertAlign w:val="superscript"/>
          <w:lang w:eastAsia="es-ES_tradnl"/>
        </w:rPr>
        <w:footnoteReference w:id="213"/>
      </w:r>
      <w:r w:rsidRPr="00AB7B88">
        <w:rPr>
          <w:rStyle w:val="Bodytext52"/>
          <w:rFonts w:ascii="Times New Roman" w:hAnsi="Times New Roman"/>
          <w:color w:val="000000"/>
          <w:sz w:val="20"/>
          <w:lang w:val="es-AR" w:eastAsia="es-ES_tradnl"/>
        </w:rPr>
        <w:t>.</w:t>
      </w:r>
    </w:p>
    <w:p w14:paraId="5C7822D3"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Los Demandantes sostienen que todos los individuos que actuaron en calidad de Protectores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o en su nombre (los Sres. Agarwal, Jiwarajka y Mehta), reconocieron y tuvieron la intención de que lo dispuesto en la Carta de Deseos, a ser puesto en práctica por el Sr. Jiwarajka, sería vinculante en lo que respecta a la administración fiduciaria del </w:t>
      </w:r>
      <w:r w:rsidRPr="00AB7B88">
        <w:rPr>
          <w:rStyle w:val="Bodytext13125pt"/>
          <w:rFonts w:ascii="Times New Roman" w:hAnsi="Times New Roman"/>
          <w:b w:val="0"/>
          <w:smallCaps w:val="0"/>
          <w:color w:val="000000"/>
          <w:sz w:val="20"/>
          <w:lang w:val="es-AR" w:eastAsia="es-ES_tradnl"/>
        </w:rPr>
        <w:t>Trust</w:t>
      </w:r>
      <w:r w:rsidRPr="00AB7B88">
        <w:rPr>
          <w:rStyle w:val="Bodytext13125pt"/>
          <w:rFonts w:ascii="Times New Roman" w:hAnsi="Times New Roman"/>
          <w:b w:val="0"/>
          <w:smallCaps w:val="0"/>
          <w:color w:val="000000"/>
          <w:sz w:val="20"/>
          <w:vertAlign w:val="superscript"/>
          <w:lang w:eastAsia="es-ES_tradnl"/>
        </w:rPr>
        <w:footnoteReference w:id="214"/>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Los Demandantes señalan que, bajo la administración fiduciaria tanto del Sr. Jiwarajka como del Sr. Mehta, los ingresos generados por el </w:t>
      </w:r>
      <w:r w:rsidRPr="00AB7B88">
        <w:rPr>
          <w:rStyle w:val="Bodytext13125pt"/>
          <w:rFonts w:ascii="Times New Roman" w:hAnsi="Times New Roman"/>
          <w:b w:val="0"/>
          <w:smallCaps w:val="0"/>
          <w:color w:val="000000"/>
          <w:sz w:val="20"/>
          <w:lang w:val="es-AR" w:eastAsia="es-ES_tradnl"/>
        </w:rPr>
        <w:t>Trust</w:t>
      </w:r>
      <w:r w:rsidRPr="00AB7B88">
        <w:rPr>
          <w:rStyle w:val="Bodytext13125pt"/>
          <w:rFonts w:ascii="Times New Roman" w:hAnsi="Times New Roman"/>
          <w:b w:val="0"/>
          <w:i w:val="0"/>
          <w:smallCaps w:val="0"/>
          <w:color w:val="000000"/>
          <w:sz w:val="20"/>
          <w:vertAlign w:val="superscript"/>
          <w:lang w:eastAsia="es-ES_tradnl"/>
        </w:rPr>
        <w:footnoteReference w:id="215"/>
      </w:r>
      <w:r w:rsidRPr="00AB7B88">
        <w:rPr>
          <w:rStyle w:val="Bodytext52"/>
          <w:rFonts w:ascii="Times New Roman" w:hAnsi="Times New Roman"/>
          <w:color w:val="000000"/>
          <w:sz w:val="20"/>
          <w:lang w:val="es-AR" w:eastAsia="es-ES_tradnl"/>
        </w:rPr>
        <w:t xml:space="preserve"> se habrían distribuido de conformidad con la Carta de Deseos del Sr. Agarwal dado que ambos estaban al tanto y en observancia de las intenciones del Sr. Agarwal</w:t>
      </w:r>
      <w:r w:rsidRPr="00AB7B88">
        <w:rPr>
          <w:rStyle w:val="Bodytext52"/>
          <w:rFonts w:ascii="Times New Roman" w:hAnsi="Times New Roman"/>
          <w:color w:val="000000"/>
          <w:sz w:val="20"/>
          <w:vertAlign w:val="superscript"/>
          <w:lang w:eastAsia="es-ES_tradnl"/>
        </w:rPr>
        <w:footnoteReference w:id="216"/>
      </w:r>
      <w:r w:rsidRPr="00AB7B88">
        <w:rPr>
          <w:rStyle w:val="Bodytext52"/>
          <w:rFonts w:ascii="Times New Roman" w:hAnsi="Times New Roman"/>
          <w:color w:val="000000"/>
          <w:sz w:val="20"/>
          <w:lang w:val="es-AR" w:eastAsia="es-ES_tradnl"/>
        </w:rPr>
        <w:t xml:space="preserve">. De igual manera, los Demandantes indican que, dado que el Sr. y la Sra. Agarwal fungían como Protectores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de Miari,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tenían constancia de, y solían participar en, las reuniones de la empresa, en las cuales habrían contado con la oportunidad de comunicar sus </w:t>
      </w:r>
      <w:r w:rsidRPr="00AB7B88">
        <w:rPr>
          <w:rStyle w:val="Bodytext52"/>
          <w:rFonts w:ascii="Times New Roman" w:hAnsi="Times New Roman"/>
          <w:color w:val="000000"/>
          <w:sz w:val="20"/>
          <w:lang w:val="es-AR" w:eastAsia="es-ES_tradnl"/>
        </w:rPr>
        <w:lastRenderedPageBreak/>
        <w:t>deseos, de ser necesario</w:t>
      </w:r>
      <w:r w:rsidRPr="00AB7B88">
        <w:rPr>
          <w:rStyle w:val="Bodytext52"/>
          <w:rFonts w:ascii="Times New Roman" w:hAnsi="Times New Roman"/>
          <w:color w:val="000000"/>
          <w:sz w:val="20"/>
          <w:vertAlign w:val="superscript"/>
          <w:lang w:eastAsia="es-ES_tradnl"/>
        </w:rPr>
        <w:footnoteReference w:id="217"/>
      </w:r>
      <w:r w:rsidRPr="00AB7B88">
        <w:rPr>
          <w:rStyle w:val="Bodytext52"/>
          <w:rFonts w:ascii="Times New Roman" w:hAnsi="Times New Roman"/>
          <w:color w:val="000000"/>
          <w:sz w:val="20"/>
          <w:lang w:val="es-AR" w:eastAsia="es-ES_tradnl"/>
        </w:rPr>
        <w:t xml:space="preserve">. Por ende, los Demandantes sostienen que "[n]o existe ningún argumento creíble" que justifique que los deseos del Sr. Agarwal, conforme se desprenden de su Carta de Deseos, de su administración y de la de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52"/>
          <w:rFonts w:ascii="Times New Roman" w:hAnsi="Times New Roman"/>
          <w:color w:val="000000"/>
          <w:sz w:val="20"/>
          <w:lang w:val="es-AR" w:eastAsia="es-ES_tradnl"/>
        </w:rPr>
        <w:t xml:space="preserve"> de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y de su propia función como Protector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en el momento pertinente, "no se habrían cumplido el 27 de septiembre de 2012 si el Proyecto Valentines se hubiese vendido en dicha fecha [...] [o] en cualquier otra fecha relevante para este caso</w:t>
      </w:r>
      <w:r w:rsidRPr="00AB7B88">
        <w:rPr>
          <w:rStyle w:val="Bodytext52"/>
          <w:rFonts w:ascii="Times New Roman" w:hAnsi="Times New Roman"/>
          <w:color w:val="000000"/>
          <w:sz w:val="20"/>
          <w:vertAlign w:val="superscript"/>
          <w:lang w:eastAsia="es-ES_tradnl"/>
        </w:rPr>
        <w:footnoteReference w:id="218"/>
      </w:r>
      <w:r w:rsidRPr="00AB7B88">
        <w:rPr>
          <w:rStyle w:val="Bodytext52"/>
          <w:rFonts w:ascii="Times New Roman" w:hAnsi="Times New Roman"/>
          <w:color w:val="000000"/>
          <w:sz w:val="20"/>
          <w:lang w:val="es-AR" w:eastAsia="es-ES_tradnl"/>
        </w:rPr>
        <w:t>".</w:t>
      </w:r>
    </w:p>
    <w:p w14:paraId="07DCD245"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Los Demandantes añaden que su estatus, sea como </w:t>
      </w:r>
      <w:r w:rsidRPr="00AB7B88">
        <w:rPr>
          <w:rStyle w:val="Bodytext13125pt"/>
          <w:rFonts w:ascii="Times New Roman" w:hAnsi="Times New Roman"/>
          <w:b w:val="0"/>
          <w:smallCaps w:val="0"/>
          <w:color w:val="000000"/>
          <w:sz w:val="20"/>
          <w:lang w:val="es-AR" w:eastAsia="es-ES_tradnl"/>
        </w:rPr>
        <w:t>discretionarybeneficiaries</w:t>
      </w:r>
      <w:r w:rsidRPr="00AB7B88">
        <w:rPr>
          <w:rStyle w:val="Bodytext52"/>
          <w:rFonts w:ascii="Times New Roman" w:hAnsi="Times New Roman"/>
          <w:color w:val="000000"/>
          <w:sz w:val="20"/>
          <w:lang w:val="es-AR" w:eastAsia="es-ES_tradnl"/>
        </w:rPr>
        <w:t xml:space="preserve"> o </w:t>
      </w:r>
      <w:r w:rsidRPr="00AB7B88">
        <w:rPr>
          <w:rStyle w:val="Bodytext13125pt"/>
          <w:rFonts w:ascii="Times New Roman" w:hAnsi="Times New Roman"/>
          <w:b w:val="0"/>
          <w:smallCaps w:val="0"/>
          <w:color w:val="000000"/>
          <w:sz w:val="20"/>
          <w:lang w:val="es-AR" w:eastAsia="es-ES_tradnl"/>
        </w:rPr>
        <w:t xml:space="preserve">fixed beneficiarles, </w:t>
      </w:r>
      <w:r w:rsidRPr="00AB7B88">
        <w:rPr>
          <w:rStyle w:val="Bodytext52"/>
          <w:rFonts w:ascii="Times New Roman" w:hAnsi="Times New Roman"/>
          <w:color w:val="000000"/>
          <w:sz w:val="20"/>
          <w:lang w:val="es-AR" w:eastAsia="es-ES_tradnl"/>
        </w:rPr>
        <w:t>antes del otorgamiento de la Escritura de Modificación, es irrelevante a los efectos de determinar que este Tribunal ostenta jurisdicción respecto de sus pretensiones</w:t>
      </w:r>
      <w:r w:rsidRPr="00AB7B88">
        <w:rPr>
          <w:rStyle w:val="Bodytext52"/>
          <w:rFonts w:ascii="Times New Roman" w:hAnsi="Times New Roman"/>
          <w:color w:val="000000"/>
          <w:sz w:val="20"/>
          <w:vertAlign w:val="superscript"/>
          <w:lang w:eastAsia="es-ES_tradnl"/>
        </w:rPr>
        <w:footnoteReference w:id="219"/>
      </w:r>
      <w:r w:rsidRPr="00AB7B88">
        <w:rPr>
          <w:rStyle w:val="Bodytext52"/>
          <w:rFonts w:ascii="Times New Roman" w:hAnsi="Times New Roman"/>
          <w:color w:val="000000"/>
          <w:sz w:val="20"/>
          <w:lang w:val="es-AR" w:eastAsia="es-ES_tradnl"/>
        </w:rPr>
        <w:t xml:space="preserve">. Los Demandantes sostienen que. en calidad </w:t>
      </w:r>
      <w:r w:rsidRPr="00AB7B88">
        <w:rPr>
          <w:rStyle w:val="Bodytext13125pt"/>
          <w:rFonts w:ascii="Times New Roman" w:hAnsi="Times New Roman"/>
          <w:b w:val="0"/>
          <w:smallCaps w:val="0"/>
          <w:color w:val="000000"/>
          <w:sz w:val="20"/>
          <w:lang w:val="es-AR" w:eastAsia="es-ES_tradnl"/>
        </w:rPr>
        <w:t>dediscretionary beneficiaries,</w:t>
      </w:r>
      <w:r w:rsidRPr="00AB7B88">
        <w:rPr>
          <w:rStyle w:val="Bodytext52"/>
          <w:rFonts w:ascii="Times New Roman" w:hAnsi="Times New Roman"/>
          <w:color w:val="000000"/>
          <w:sz w:val="20"/>
          <w:lang w:val="es-AR" w:eastAsia="es-ES_tradnl"/>
        </w:rPr>
        <w:t xml:space="preserve"> mantenían un interés económico de la suficiente entidad en los bienes uruguayos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para conferirles legitimación al amparo del TBI</w:t>
      </w:r>
      <w:r w:rsidRPr="00AB7B88">
        <w:rPr>
          <w:rStyle w:val="Bodytext52"/>
          <w:rFonts w:ascii="Times New Roman" w:hAnsi="Times New Roman"/>
          <w:color w:val="000000"/>
          <w:sz w:val="20"/>
          <w:vertAlign w:val="superscript"/>
          <w:lang w:eastAsia="es-ES_tradnl"/>
        </w:rPr>
        <w:footnoteReference w:id="220"/>
      </w:r>
      <w:r w:rsidRPr="00AB7B88">
        <w:rPr>
          <w:rStyle w:val="Bodytext52"/>
          <w:rFonts w:ascii="Times New Roman" w:hAnsi="Times New Roman"/>
          <w:color w:val="000000"/>
          <w:sz w:val="20"/>
          <w:lang w:val="es-AR" w:eastAsia="es-ES_tradnl"/>
        </w:rPr>
        <w:t>. Los Demandantes indican que el TBI, a diferencia de otros tratados de inversión. no contiene disposiciones que limiten la relación entre una "inversión" y un posible demandante con respecto a la titularidad y el control</w:t>
      </w:r>
      <w:r w:rsidRPr="00AB7B88">
        <w:rPr>
          <w:rStyle w:val="Bodytext52"/>
          <w:rFonts w:ascii="Times New Roman" w:hAnsi="Times New Roman"/>
          <w:color w:val="000000"/>
          <w:sz w:val="20"/>
          <w:vertAlign w:val="superscript"/>
          <w:lang w:eastAsia="es-ES_tradnl"/>
        </w:rPr>
        <w:footnoteReference w:id="221"/>
      </w:r>
      <w:r w:rsidRPr="00AB7B88">
        <w:rPr>
          <w:rStyle w:val="Bodytext52"/>
          <w:rFonts w:ascii="Times New Roman" w:hAnsi="Times New Roman"/>
          <w:color w:val="000000"/>
          <w:sz w:val="20"/>
          <w:lang w:val="es-AR" w:eastAsia="es-ES_tradnl"/>
        </w:rPr>
        <w:t>. En lugar de emplear el término "inversor". los Demandantes observan que el TBI legitima a "nacionales" y "sociedades" del Reino Unido o de Uruguay</w:t>
      </w:r>
      <w:r w:rsidRPr="00AB7B88">
        <w:rPr>
          <w:rStyle w:val="Bodytext52"/>
          <w:rFonts w:ascii="Times New Roman" w:hAnsi="Times New Roman"/>
          <w:color w:val="000000"/>
          <w:sz w:val="20"/>
          <w:vertAlign w:val="superscript"/>
          <w:lang w:eastAsia="es-ES_tradnl"/>
        </w:rPr>
        <w:footnoteReference w:id="222"/>
      </w:r>
      <w:r w:rsidRPr="00AB7B88">
        <w:rPr>
          <w:rStyle w:val="Bodytext52"/>
          <w:rFonts w:ascii="Times New Roman" w:hAnsi="Times New Roman"/>
          <w:color w:val="000000"/>
          <w:sz w:val="20"/>
          <w:lang w:val="es-AR" w:eastAsia="es-ES_tradnl"/>
        </w:rPr>
        <w:t>. Los Demandantes indican que esta redacción pone de manifiesto que "los redactores no quisieron limitar la capacidad</w:t>
      </w:r>
      <w:r w:rsidR="00BD59EF" w:rsidRPr="00AB7B88">
        <w:rPr>
          <w:sz w:val="20"/>
          <w:lang w:val="es-AR"/>
        </w:rPr>
        <w:t xml:space="preserve"> </w:t>
      </w:r>
      <w:r w:rsidRPr="00AB7B88">
        <w:rPr>
          <w:rStyle w:val="Bodytext52"/>
          <w:rFonts w:ascii="Times New Roman" w:hAnsi="Times New Roman"/>
          <w:color w:val="000000"/>
          <w:sz w:val="20"/>
          <w:lang w:val="es-AR" w:eastAsia="es-ES_tradnl"/>
        </w:rPr>
        <w:t>de un tribunal de considerar reclamos presentados por demandantes cuyo interés en las ’inversiones’ en cuestión no llegara a constituir una ’titularidad’ o un ’control’ plenos</w:t>
      </w:r>
      <w:r w:rsidRPr="00AB7B88">
        <w:rPr>
          <w:rStyle w:val="Bodytext52"/>
          <w:rFonts w:ascii="Times New Roman" w:hAnsi="Times New Roman"/>
          <w:color w:val="000000"/>
          <w:sz w:val="20"/>
          <w:vertAlign w:val="superscript"/>
          <w:lang w:eastAsia="es-ES_tradnl"/>
        </w:rPr>
        <w:footnoteReference w:id="223"/>
      </w:r>
      <w:r w:rsidRPr="00AB7B88">
        <w:rPr>
          <w:rStyle w:val="Bodytext52"/>
          <w:rFonts w:ascii="Times New Roman" w:hAnsi="Times New Roman"/>
          <w:color w:val="000000"/>
          <w:sz w:val="20"/>
          <w:lang w:val="es-AR" w:eastAsia="es-ES_tradnl"/>
        </w:rPr>
        <w:t>".</w:t>
      </w:r>
    </w:p>
    <w:p w14:paraId="3D7B5DD5"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Los Demandantes destacan que el texto del TBI refuerza el amplio estándar de protección dispuesto en dicho instrumento. En particular. los Demandantes constatan que la disposición de trato justo y equitativo del TBI establece que "a las inversiones de capital de nacionales o sociedades de cada Parte Contratante se les concederá en toda ocasión un trato justo y equitativo</w:t>
      </w:r>
      <w:r w:rsidRPr="00AB7B88">
        <w:rPr>
          <w:rStyle w:val="Bodytext52"/>
          <w:rFonts w:ascii="Times New Roman" w:hAnsi="Times New Roman"/>
          <w:color w:val="000000"/>
          <w:sz w:val="20"/>
          <w:vertAlign w:val="superscript"/>
          <w:lang w:eastAsia="es-ES_tradnl"/>
        </w:rPr>
        <w:footnoteReference w:id="224"/>
      </w:r>
      <w:r w:rsidRPr="00AB7B88">
        <w:rPr>
          <w:rStyle w:val="Bodytext52"/>
          <w:rFonts w:ascii="Times New Roman" w:hAnsi="Times New Roman"/>
          <w:color w:val="000000"/>
          <w:sz w:val="20"/>
          <w:lang w:val="es-AR" w:eastAsia="es-ES_tradnl"/>
        </w:rPr>
        <w:t>". Ajuicio de los Demandantes. el TBI emplea una formulación amplia para describir las inversiones protegidas como "toda clase de bienes</w:t>
      </w:r>
      <w:r w:rsidRPr="00AB7B88">
        <w:rPr>
          <w:rStyle w:val="Bodytext52"/>
          <w:rFonts w:ascii="Times New Roman" w:hAnsi="Times New Roman"/>
          <w:color w:val="000000"/>
          <w:sz w:val="20"/>
          <w:vertAlign w:val="superscript"/>
          <w:lang w:eastAsia="es-ES_tradnl"/>
        </w:rPr>
        <w:footnoteReference w:id="225"/>
      </w:r>
      <w:r w:rsidRPr="00AB7B88">
        <w:rPr>
          <w:rStyle w:val="Bodytext52"/>
          <w:rFonts w:ascii="Times New Roman" w:hAnsi="Times New Roman"/>
          <w:color w:val="000000"/>
          <w:sz w:val="20"/>
          <w:lang w:val="es-AR" w:eastAsia="es-ES_tradnl"/>
        </w:rPr>
        <w:t>" en lo que se conoce como "una definición muy amplia de inversión basada en bienes</w:t>
      </w:r>
      <w:r w:rsidRPr="00AB7B88">
        <w:rPr>
          <w:rStyle w:val="Bodytext52"/>
          <w:rFonts w:ascii="Times New Roman" w:hAnsi="Times New Roman"/>
          <w:color w:val="000000"/>
          <w:sz w:val="20"/>
          <w:vertAlign w:val="superscript"/>
          <w:lang w:eastAsia="es-ES_tradnl"/>
        </w:rPr>
        <w:footnoteReference w:id="226"/>
      </w:r>
      <w:r w:rsidRPr="00AB7B88">
        <w:rPr>
          <w:rStyle w:val="Bodytext52"/>
          <w:rFonts w:ascii="Times New Roman" w:hAnsi="Times New Roman"/>
          <w:color w:val="000000"/>
          <w:sz w:val="20"/>
          <w:lang w:val="es-AR" w:eastAsia="es-ES_tradnl"/>
        </w:rPr>
        <w:t xml:space="preserve">", con lo cual comprende "cualquier </w:t>
      </w:r>
      <w:r w:rsidRPr="00AB7B88">
        <w:rPr>
          <w:rStyle w:val="Bodytext52"/>
          <w:rFonts w:ascii="Times New Roman" w:hAnsi="Times New Roman"/>
          <w:color w:val="000000"/>
          <w:sz w:val="20"/>
          <w:lang w:val="es-AR" w:eastAsia="es-ES_tradnl"/>
        </w:rPr>
        <w:lastRenderedPageBreak/>
        <w:t>cosa de valor económico, sin ningún tipo de restricción</w:t>
      </w:r>
      <w:r w:rsidRPr="00AB7B88">
        <w:rPr>
          <w:rStyle w:val="Bodytext52"/>
          <w:rFonts w:ascii="Times New Roman" w:hAnsi="Times New Roman"/>
          <w:color w:val="000000"/>
          <w:sz w:val="20"/>
          <w:vertAlign w:val="superscript"/>
          <w:lang w:eastAsia="es-ES_tradnl"/>
        </w:rPr>
        <w:footnoteReference w:id="227"/>
      </w:r>
      <w:r w:rsidRPr="00AB7B88">
        <w:rPr>
          <w:rStyle w:val="Bodytext52"/>
          <w:rFonts w:ascii="Times New Roman" w:hAnsi="Times New Roman"/>
          <w:color w:val="000000"/>
          <w:sz w:val="20"/>
          <w:lang w:val="es-AR" w:eastAsia="es-ES_tradnl"/>
        </w:rPr>
        <w:t>".</w:t>
      </w:r>
    </w:p>
    <w:p w14:paraId="40CB9A22"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Los Demandantes señalan que sus intereses como beneficiarios, incluso como </w:t>
      </w:r>
      <w:r w:rsidRPr="00AB7B88">
        <w:rPr>
          <w:rStyle w:val="Bodytext13125pt"/>
          <w:rFonts w:ascii="Times New Roman" w:hAnsi="Times New Roman"/>
          <w:b w:val="0"/>
          <w:smallCaps w:val="0"/>
          <w:color w:val="000000"/>
          <w:sz w:val="20"/>
          <w:lang w:val="es-AR" w:eastAsia="es-ES_tradnl"/>
        </w:rPr>
        <w:t>discretionary beneficiarles,</w:t>
      </w:r>
      <w:r w:rsidRPr="00AB7B88">
        <w:rPr>
          <w:rStyle w:val="Bodytext52"/>
          <w:rFonts w:ascii="Times New Roman" w:hAnsi="Times New Roman"/>
          <w:color w:val="000000"/>
          <w:sz w:val="20"/>
          <w:lang w:val="es-AR" w:eastAsia="es-ES_tradnl"/>
        </w:rPr>
        <w:t xml:space="preserve"> constituyen una "clase de bien" con valor económico</w:t>
      </w:r>
      <w:r w:rsidRPr="00AB7B88">
        <w:rPr>
          <w:rStyle w:val="Bodytext52"/>
          <w:rFonts w:ascii="Times New Roman" w:hAnsi="Times New Roman"/>
          <w:color w:val="000000"/>
          <w:sz w:val="20"/>
          <w:vertAlign w:val="superscript"/>
          <w:lang w:eastAsia="es-ES_tradnl"/>
        </w:rPr>
        <w:footnoteReference w:id="228"/>
      </w:r>
      <w:r w:rsidRPr="00AB7B88">
        <w:rPr>
          <w:rStyle w:val="Bodytext52"/>
          <w:rFonts w:ascii="Times New Roman" w:hAnsi="Times New Roman"/>
          <w:color w:val="000000"/>
          <w:sz w:val="20"/>
          <w:lang w:val="es-AR" w:eastAsia="es-ES_tradnl"/>
        </w:rPr>
        <w:t>. Los Demandantes observan que "no se prevé ningún requisito de que los ’derechos a fondos’ sean ’específic[os], definid[os] o cuantificables en ningún momento’</w:t>
      </w:r>
      <w:r w:rsidRPr="00AB7B88">
        <w:rPr>
          <w:rStyle w:val="Bodytext52"/>
          <w:rFonts w:ascii="Times New Roman" w:hAnsi="Times New Roman"/>
          <w:color w:val="000000"/>
          <w:sz w:val="20"/>
          <w:vertAlign w:val="superscript"/>
          <w:lang w:eastAsia="es-ES_tradnl"/>
        </w:rPr>
        <w:footnoteReference w:id="229"/>
      </w:r>
      <w:r w:rsidRPr="00AB7B88">
        <w:rPr>
          <w:rStyle w:val="Bodytext52"/>
          <w:rFonts w:ascii="Times New Roman" w:hAnsi="Times New Roman"/>
          <w:color w:val="000000"/>
          <w:sz w:val="20"/>
          <w:lang w:val="es-AR" w:eastAsia="es-ES_tradnl"/>
        </w:rPr>
        <w:t xml:space="preserve">". Por consiguiente, los Demandantes postulan que están facultados para invocar el TBI con respecto a incumplimientos que ocurrieron mientras eran </w:t>
      </w:r>
      <w:r w:rsidRPr="00AB7B88">
        <w:rPr>
          <w:rStyle w:val="Bodytext13125pt"/>
          <w:rFonts w:ascii="Times New Roman" w:hAnsi="Times New Roman"/>
          <w:b w:val="0"/>
          <w:smallCaps w:val="0"/>
          <w:color w:val="000000"/>
          <w:sz w:val="20"/>
          <w:lang w:val="es-AR" w:eastAsia="es-ES_tradnl"/>
        </w:rPr>
        <w:t>discretionary beneficiaries</w:t>
      </w:r>
      <w:r w:rsidRPr="00AB7B88">
        <w:rPr>
          <w:rStyle w:val="Bodytext52"/>
          <w:rFonts w:ascii="Times New Roman" w:hAnsi="Times New Roman"/>
          <w:color w:val="000000"/>
          <w:sz w:val="20"/>
          <w:lang w:val="es-AR" w:eastAsia="es-ES_tradnl"/>
        </w:rPr>
        <w:t xml:space="preserve"> y </w:t>
      </w:r>
      <w:r w:rsidRPr="00AB7B88">
        <w:rPr>
          <w:rStyle w:val="Bodytext13125pt"/>
          <w:rFonts w:ascii="Times New Roman" w:hAnsi="Times New Roman"/>
          <w:b w:val="0"/>
          <w:smallCaps w:val="0"/>
          <w:color w:val="000000"/>
          <w:sz w:val="20"/>
          <w:lang w:val="es-AR" w:eastAsia="es-ES_tradnl"/>
        </w:rPr>
        <w:t>fixed beneficiaries</w:t>
      </w:r>
      <w:r w:rsidRPr="00AB7B88">
        <w:rPr>
          <w:rStyle w:val="Bodytext13125pt"/>
          <w:rFonts w:ascii="Times New Roman" w:hAnsi="Times New Roman"/>
          <w:b w:val="0"/>
          <w:i w:val="0"/>
          <w:smallCaps w:val="0"/>
          <w:color w:val="000000"/>
          <w:sz w:val="20"/>
          <w:vertAlign w:val="superscript"/>
          <w:lang w:eastAsia="es-ES_tradnl"/>
        </w:rPr>
        <w:footnoteReference w:id="230"/>
      </w:r>
      <w:r w:rsidRPr="00AB7B88">
        <w:rPr>
          <w:rStyle w:val="Bodytext13125pt"/>
          <w:rFonts w:ascii="Times New Roman" w:hAnsi="Times New Roman"/>
          <w:b w:val="0"/>
          <w:smallCaps w:val="0"/>
          <w:color w:val="000000"/>
          <w:sz w:val="20"/>
          <w:lang w:val="es-AR" w:eastAsia="es-ES_tradnl"/>
        </w:rPr>
        <w:t>.</w:t>
      </w:r>
    </w:p>
    <w:p w14:paraId="5DE4D774"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De igual manera, los Demandantes arguyen que, incluso si el Tribunal concluyese que el derecho de las Islas Caimán es aplicable a la presente controversia en lo que respecta a la relación de los Demandantes con los bienes uruguayos en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ello "no cambiaría la conclusión de que la jurisdicción del Tribunal es procedente, y de que los Demandantes tienen legitimación en relación con acontecimientos previos al 1 de agosto de 2016</w:t>
      </w:r>
      <w:r w:rsidRPr="00AB7B88">
        <w:rPr>
          <w:rStyle w:val="Bodytext52"/>
          <w:rFonts w:ascii="Times New Roman" w:hAnsi="Times New Roman"/>
          <w:color w:val="000000"/>
          <w:sz w:val="20"/>
          <w:vertAlign w:val="superscript"/>
          <w:lang w:eastAsia="es-ES_tradnl"/>
        </w:rPr>
        <w:footnoteReference w:id="231"/>
      </w:r>
      <w:r w:rsidRPr="00AB7B88">
        <w:rPr>
          <w:rStyle w:val="Bodytext52"/>
          <w:rFonts w:ascii="Times New Roman" w:hAnsi="Times New Roman"/>
          <w:color w:val="000000"/>
          <w:sz w:val="20"/>
          <w:lang w:val="es-AR" w:eastAsia="es-ES_tradnl"/>
        </w:rPr>
        <w:t xml:space="preserve">". Los Demandantes consideran que, dado que el derecho internacional favorece a las partes con </w:t>
      </w:r>
      <w:r w:rsidRPr="00AB7B88">
        <w:rPr>
          <w:rStyle w:val="Bodytext13125pt"/>
          <w:rFonts w:ascii="Times New Roman" w:hAnsi="Times New Roman"/>
          <w:b w:val="0"/>
          <w:smallCaps w:val="0"/>
          <w:color w:val="000000"/>
          <w:sz w:val="20"/>
          <w:lang w:val="es-AR" w:eastAsia="es-ES_tradnl"/>
        </w:rPr>
        <w:t>economic and beneficial interests,</w:t>
      </w:r>
      <w:r w:rsidRPr="00AB7B88">
        <w:rPr>
          <w:rStyle w:val="Bodytext52"/>
          <w:rFonts w:ascii="Times New Roman" w:hAnsi="Times New Roman"/>
          <w:color w:val="000000"/>
          <w:sz w:val="20"/>
          <w:lang w:val="es-AR" w:eastAsia="es-ES_tradnl"/>
        </w:rPr>
        <w:t xml:space="preserve"> el derecho de las Islas Caimán, de aplicarse de alguna manera, solo se debe aplicar en la medida en que determina si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confiere a los Demandantes un </w:t>
      </w:r>
      <w:r w:rsidRPr="00AB7B88">
        <w:rPr>
          <w:rStyle w:val="Bodytext13125pt"/>
          <w:rFonts w:ascii="Times New Roman" w:hAnsi="Times New Roman"/>
          <w:b w:val="0"/>
          <w:smallCaps w:val="0"/>
          <w:color w:val="000000"/>
          <w:sz w:val="20"/>
          <w:lang w:val="es-AR" w:eastAsia="es-ES_tradnl"/>
        </w:rPr>
        <w:t>beneficial interest</w:t>
      </w:r>
      <w:r w:rsidRPr="00AB7B88">
        <w:rPr>
          <w:rStyle w:val="Bodytext52"/>
          <w:rFonts w:ascii="Times New Roman" w:hAnsi="Times New Roman"/>
          <w:color w:val="000000"/>
          <w:sz w:val="20"/>
          <w:lang w:val="es-AR" w:eastAsia="es-ES_tradnl"/>
        </w:rPr>
        <w:t xml:space="preserve"> en los bienes del Proyecto Valentines, es decir "si se les podía calificar como [titulares de un interés legítimo]" a la fecha de la valuación del presente caso y a la fecha en que los Demandantes iniciaron el arbitraje</w:t>
      </w:r>
      <w:r w:rsidRPr="00AB7B88">
        <w:rPr>
          <w:rStyle w:val="Bodytext52"/>
          <w:rFonts w:ascii="Times New Roman" w:hAnsi="Times New Roman"/>
          <w:color w:val="000000"/>
          <w:sz w:val="20"/>
          <w:vertAlign w:val="superscript"/>
          <w:lang w:eastAsia="es-ES_tradnl"/>
        </w:rPr>
        <w:footnoteReference w:id="232"/>
      </w:r>
      <w:r w:rsidRPr="00AB7B88">
        <w:rPr>
          <w:rStyle w:val="Bodytext52"/>
          <w:rFonts w:ascii="Times New Roman" w:hAnsi="Times New Roman"/>
          <w:color w:val="000000"/>
          <w:sz w:val="20"/>
          <w:lang w:val="es-AR" w:eastAsia="es-ES_tradnl"/>
        </w:rPr>
        <w:t>.</w:t>
      </w:r>
    </w:p>
    <w:p w14:paraId="2F2A5376"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Los Demandantes, en alusión al informe pericial del Sr. Green, sostienen que dado que "una carta de deseos es un indicador significativo de la manera en que se considera que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52"/>
          <w:rFonts w:ascii="Times New Roman" w:hAnsi="Times New Roman"/>
          <w:color w:val="000000"/>
          <w:sz w:val="20"/>
          <w:lang w:val="es-AR" w:eastAsia="es-ES_tradnl"/>
        </w:rPr>
        <w:t xml:space="preserve"> ejercerán la discreción que se les confiere</w:t>
      </w:r>
      <w:r w:rsidRPr="00AB7B88">
        <w:rPr>
          <w:rStyle w:val="Bodytext52"/>
          <w:rFonts w:ascii="Times New Roman" w:hAnsi="Times New Roman"/>
          <w:color w:val="000000"/>
          <w:sz w:val="20"/>
          <w:vertAlign w:val="superscript"/>
          <w:lang w:eastAsia="es-ES_tradnl"/>
        </w:rPr>
        <w:footnoteReference w:id="233"/>
      </w:r>
      <w:r w:rsidRPr="00AB7B88">
        <w:rPr>
          <w:rStyle w:val="Bodytext52"/>
          <w:rFonts w:ascii="Times New Roman" w:hAnsi="Times New Roman"/>
          <w:color w:val="000000"/>
          <w:sz w:val="20"/>
          <w:lang w:val="es-AR" w:eastAsia="es-ES_tradnl"/>
        </w:rPr>
        <w:t>", y dado que no consta que la Carta de Deseos del Sr. Agarwal no habría sido respetada, dicha carta constituye el mejor fundamento para determinar si es posible considerar a los Demandantes como titulares de un interés legítimo en las fechas pertinentes</w:t>
      </w:r>
      <w:r w:rsidRPr="00AB7B88">
        <w:rPr>
          <w:rStyle w:val="Bodytext52"/>
          <w:rFonts w:ascii="Times New Roman" w:hAnsi="Times New Roman"/>
          <w:color w:val="000000"/>
          <w:sz w:val="20"/>
          <w:vertAlign w:val="superscript"/>
          <w:lang w:eastAsia="es-ES_tradnl"/>
        </w:rPr>
        <w:footnoteReference w:id="234"/>
      </w:r>
      <w:r w:rsidRPr="00AB7B88">
        <w:rPr>
          <w:rStyle w:val="Bodytext52"/>
          <w:rFonts w:ascii="Times New Roman" w:hAnsi="Times New Roman"/>
          <w:color w:val="000000"/>
          <w:sz w:val="20"/>
          <w:lang w:val="es-AR" w:eastAsia="es-ES_tradnl"/>
        </w:rPr>
        <w:t xml:space="preserve">. En consecuencia, los Demandantes concluyen que, dado que el Protector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y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eran conscientes de la Carta de Deseos, y se </w:t>
      </w:r>
      <w:r w:rsidRPr="00AB7B88">
        <w:rPr>
          <w:rStyle w:val="Bodytext52"/>
          <w:rFonts w:ascii="Times New Roman" w:hAnsi="Times New Roman"/>
          <w:color w:val="000000"/>
          <w:sz w:val="20"/>
          <w:lang w:val="es-AR" w:eastAsia="es-ES_tradnl"/>
        </w:rPr>
        <w:lastRenderedPageBreak/>
        <w:t xml:space="preserve">consideraban obligados por la misma, "existen muchos motivos para creer que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52"/>
          <w:rFonts w:ascii="Times New Roman" w:hAnsi="Times New Roman"/>
          <w:color w:val="000000"/>
          <w:sz w:val="20"/>
          <w:lang w:val="es-AR" w:eastAsia="es-ES_tradnl"/>
        </w:rPr>
        <w:t xml:space="preserve"> habrían conocido los deseos del [Sr. Agarwal] [oportunamente] y no hay razones para creer que no los hubieran cumplido en la práctica</w:t>
      </w:r>
      <w:r w:rsidRPr="00AB7B88">
        <w:rPr>
          <w:rStyle w:val="Bodytext52"/>
          <w:rFonts w:ascii="Times New Roman" w:hAnsi="Times New Roman"/>
          <w:color w:val="000000"/>
          <w:sz w:val="20"/>
          <w:vertAlign w:val="superscript"/>
          <w:lang w:eastAsia="es-ES_tradnl"/>
        </w:rPr>
        <w:footnoteReference w:id="235"/>
      </w:r>
      <w:r w:rsidRPr="00AB7B88">
        <w:rPr>
          <w:rStyle w:val="Bodytext52"/>
          <w:rFonts w:ascii="Times New Roman" w:hAnsi="Times New Roman"/>
          <w:color w:val="000000"/>
          <w:sz w:val="20"/>
          <w:lang w:val="es-AR" w:eastAsia="es-ES_tradnl"/>
        </w:rPr>
        <w:t xml:space="preserve">". Por otra parte, los Demandantes sostienen que, a la fecha de la valuación en esta controversia, el 27 de septiembre de 2012, el Sr. Agarwal y su esposa fungían como Protectores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P. Devi "por lo cual ya sea como </w:t>
      </w:r>
      <w:r w:rsidRPr="00AB7B88">
        <w:rPr>
          <w:rStyle w:val="Bodytext13125pt"/>
          <w:rFonts w:ascii="Times New Roman" w:hAnsi="Times New Roman"/>
          <w:b w:val="0"/>
          <w:smallCaps w:val="0"/>
          <w:color w:val="000000"/>
          <w:sz w:val="20"/>
          <w:lang w:val="es-AR" w:eastAsia="es-ES_tradnl"/>
        </w:rPr>
        <w:t>Settlor</w:t>
      </w:r>
      <w:r w:rsidRPr="00AB7B88">
        <w:rPr>
          <w:rStyle w:val="Bodytext52"/>
          <w:rFonts w:ascii="Times New Roman" w:hAnsi="Times New Roman"/>
          <w:color w:val="000000"/>
          <w:sz w:val="20"/>
          <w:lang w:val="es-AR" w:eastAsia="es-ES_tradnl"/>
        </w:rPr>
        <w:t xml:space="preserve"> o como titular de dicho cargo [el Sr. Agarwal] se encontraba en una posición de privilegio para asegurar que sus deseos se tomaran en cuenta completamente en lo que concierne a la disposición de los fondos </w:t>
      </w:r>
      <w:r w:rsidRPr="00AB7B88">
        <w:rPr>
          <w:rStyle w:val="Bodytext13125pt"/>
          <w:rFonts w:ascii="Times New Roman" w:hAnsi="Times New Roman"/>
          <w:b w:val="0"/>
          <w:smallCaps w:val="0"/>
          <w:color w:val="000000"/>
          <w:sz w:val="20"/>
          <w:lang w:val="es-AR" w:eastAsia="es-ES_tradnl"/>
        </w:rPr>
        <w:t>del Trust</w:t>
      </w:r>
      <w:r w:rsidRPr="00AB7B88">
        <w:rPr>
          <w:rStyle w:val="Bodytext13125pt"/>
          <w:rFonts w:ascii="Times New Roman" w:hAnsi="Times New Roman"/>
          <w:b w:val="0"/>
          <w:smallCaps w:val="0"/>
          <w:color w:val="000000"/>
          <w:sz w:val="20"/>
          <w:vertAlign w:val="superscript"/>
          <w:lang w:eastAsia="es-ES_tradnl"/>
        </w:rPr>
        <w:footnoteReference w:id="236"/>
      </w:r>
      <w:r w:rsidRPr="00AB7B88">
        <w:rPr>
          <w:rStyle w:val="Bodytext13125pt"/>
          <w:rFonts w:ascii="Times New Roman" w:hAnsi="Times New Roman"/>
          <w:b w:val="0"/>
          <w:smallCaps w:val="0"/>
          <w:color w:val="000000"/>
          <w:sz w:val="20"/>
          <w:lang w:val="es-AR" w:eastAsia="es-ES_tradnl"/>
        </w:rPr>
        <w:t>".</w:t>
      </w:r>
    </w:p>
    <w:p w14:paraId="05D092F0"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Los Demandantes también indican que los </w:t>
      </w:r>
      <w:r w:rsidRPr="00AB7B88">
        <w:rPr>
          <w:rStyle w:val="Bodytext13125pt"/>
          <w:rFonts w:ascii="Times New Roman" w:hAnsi="Times New Roman"/>
          <w:b w:val="0"/>
          <w:smallCaps w:val="0"/>
          <w:color w:val="000000"/>
          <w:sz w:val="20"/>
          <w:lang w:val="es-AR" w:eastAsia="es-ES_tradnl"/>
        </w:rPr>
        <w:t>discretionary beneficiarles</w:t>
      </w:r>
      <w:r w:rsidRPr="00AB7B88">
        <w:rPr>
          <w:rStyle w:val="Bodytext52"/>
          <w:rFonts w:ascii="Times New Roman" w:hAnsi="Times New Roman"/>
          <w:color w:val="000000"/>
          <w:sz w:val="20"/>
          <w:lang w:val="es-AR" w:eastAsia="es-ES_tradnl"/>
        </w:rPr>
        <w:t xml:space="preserve"> mantienen derechos en </w:t>
      </w:r>
      <w:r w:rsidRPr="00AB7B88">
        <w:rPr>
          <w:rStyle w:val="Bodytext13125pt"/>
          <w:rFonts w:ascii="Times New Roman" w:hAnsi="Times New Roman"/>
          <w:b w:val="0"/>
          <w:smallCaps w:val="0"/>
          <w:color w:val="000000"/>
          <w:sz w:val="20"/>
          <w:lang w:val="es-AR" w:eastAsia="es-ES_tradnl"/>
        </w:rPr>
        <w:t>equity ("equitable rights")</w:t>
      </w:r>
      <w:r w:rsidRPr="00AB7B88">
        <w:rPr>
          <w:rStyle w:val="Bodytext52"/>
          <w:rFonts w:ascii="Times New Roman" w:hAnsi="Times New Roman"/>
          <w:color w:val="000000"/>
          <w:sz w:val="20"/>
          <w:lang w:val="es-AR" w:eastAsia="es-ES_tradnl"/>
        </w:rPr>
        <w:t xml:space="preserve"> y derechos de propiedad respecto del </w:t>
      </w:r>
      <w:r w:rsidRPr="00AB7B88">
        <w:rPr>
          <w:rStyle w:val="Bodytext13125pt"/>
          <w:rFonts w:ascii="Times New Roman" w:hAnsi="Times New Roman"/>
          <w:b w:val="0"/>
          <w:smallCaps w:val="0"/>
          <w:color w:val="000000"/>
          <w:sz w:val="20"/>
          <w:lang w:val="es-AR" w:eastAsia="es-ES_tradnl"/>
        </w:rPr>
        <w:t>trust</w:t>
      </w:r>
      <w:r w:rsidRPr="00AB7B88">
        <w:rPr>
          <w:rStyle w:val="Bodytext13125pt"/>
          <w:rFonts w:ascii="Times New Roman" w:hAnsi="Times New Roman"/>
          <w:b w:val="0"/>
          <w:i w:val="0"/>
          <w:smallCaps w:val="0"/>
          <w:color w:val="000000"/>
          <w:sz w:val="20"/>
          <w:vertAlign w:val="superscript"/>
          <w:lang w:eastAsia="es-ES_tradnl"/>
        </w:rPr>
        <w:footnoteReference w:id="237"/>
      </w:r>
      <w:r w:rsidRPr="00AB7B88">
        <w:rPr>
          <w:rStyle w:val="Bodytext13125pt"/>
          <w:rFonts w:ascii="Times New Roman" w:hAnsi="Times New Roman"/>
          <w:b w:val="0"/>
          <w:i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Según los Demandantes, incluso al amparo del derecho de las Islas Caimán, la recuperación con respecto a "la totalidad de los fondos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no se puede denegar solo porque "el beneficiario es solo un </w:t>
      </w:r>
      <w:r w:rsidRPr="00AB7B88">
        <w:rPr>
          <w:rStyle w:val="Bodytext13125pt"/>
          <w:rFonts w:ascii="Times New Roman" w:hAnsi="Times New Roman"/>
          <w:b w:val="0"/>
          <w:smallCaps w:val="0"/>
          <w:color w:val="000000"/>
          <w:sz w:val="20"/>
          <w:lang w:val="es-AR" w:eastAsia="es-ES_tradnl"/>
        </w:rPr>
        <w:t>discretionary beneficiary</w:t>
      </w:r>
      <w:r w:rsidRPr="00AB7B88">
        <w:rPr>
          <w:rStyle w:val="FootnoteReference"/>
          <w:bCs/>
          <w:iCs/>
          <w:color w:val="000000"/>
          <w:sz w:val="20"/>
          <w:szCs w:val="20"/>
          <w:lang w:eastAsia="es-ES_tradnl"/>
        </w:rPr>
        <w:footnoteReference w:id="238"/>
      </w:r>
    </w:p>
    <w:p w14:paraId="2DA1B617"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consecuencia, los Demandantes sostienen que, incluso si se aplicase el derecho de las Islas Caimán al presente procedimiento, los Demandantes serían titulares de un interés legítimo tanto a la fecha de la valuación (27 de septiembre de 2012) como a la fecha del inicio del presente procedimiento (19 de julio de 2017), lo cual les permite solicitar protecciones con respecto a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13125pt"/>
          <w:rFonts w:ascii="Times New Roman" w:hAnsi="Times New Roman"/>
          <w:b w:val="0"/>
          <w:smallCaps w:val="0"/>
          <w:color w:val="000000"/>
          <w:sz w:val="20"/>
          <w:vertAlign w:val="superscript"/>
          <w:lang w:eastAsia="es-ES_tradnl"/>
        </w:rPr>
        <w:footnoteReference w:id="239"/>
      </w:r>
      <w:r w:rsidRPr="00AB7B88">
        <w:rPr>
          <w:rStyle w:val="Bodytext13125pt"/>
          <w:rFonts w:ascii="Times New Roman" w:hAnsi="Times New Roman"/>
          <w:b w:val="0"/>
          <w:smallCaps w:val="0"/>
          <w:color w:val="000000"/>
          <w:sz w:val="20"/>
          <w:lang w:val="es-AR" w:eastAsia="es-ES_tradnl"/>
        </w:rPr>
        <w:t>.</w:t>
      </w:r>
    </w:p>
    <w:p w14:paraId="2FD34CF9" w14:textId="77777777" w:rsidR="003B3957" w:rsidRPr="00AB7B88" w:rsidRDefault="003B3957" w:rsidP="0019575B">
      <w:pPr>
        <w:pStyle w:val="Heading20"/>
        <w:keepNext/>
        <w:keepLines/>
        <w:numPr>
          <w:ilvl w:val="0"/>
          <w:numId w:val="46"/>
        </w:numPr>
        <w:shd w:val="clear" w:color="auto" w:fill="auto"/>
        <w:tabs>
          <w:tab w:val="left" w:pos="284"/>
        </w:tabs>
        <w:spacing w:before="380" w:after="0" w:line="360" w:lineRule="auto"/>
        <w:ind w:right="280" w:firstLine="0"/>
        <w:jc w:val="left"/>
        <w:rPr>
          <w:rFonts w:ascii="Times New Roman" w:hAnsi="Times New Roman"/>
          <w:b w:val="0"/>
          <w:sz w:val="20"/>
          <w:lang w:val="es-AR"/>
        </w:rPr>
      </w:pPr>
      <w:bookmarkStart w:id="84" w:name="bookmark85"/>
      <w:bookmarkStart w:id="85" w:name="bookmark86"/>
      <w:r w:rsidRPr="00AB7B88">
        <w:rPr>
          <w:rStyle w:val="Heading2"/>
          <w:rFonts w:ascii="Times New Roman" w:hAnsi="Times New Roman"/>
          <w:b/>
          <w:color w:val="000000"/>
          <w:sz w:val="20"/>
          <w:lang w:val="es-AR" w:eastAsia="es-ES_tradnl"/>
        </w:rPr>
        <w:t xml:space="preserve">Jurisdicción </w:t>
      </w:r>
      <w:r w:rsidRPr="00AB7B88">
        <w:rPr>
          <w:rStyle w:val="Bodytext145pt"/>
          <w:rFonts w:ascii="Times New Roman" w:eastAsia="Calibri" w:hAnsi="Times New Roman"/>
          <w:b/>
          <w:bCs/>
          <w:smallCaps w:val="0"/>
          <w:color w:val="000000"/>
          <w:sz w:val="20"/>
          <w:lang w:val="es-AR" w:eastAsia="es-ES_tradnl"/>
        </w:rPr>
        <w:t>ratione temporis</w:t>
      </w:r>
      <w:r w:rsidRPr="00AB7B88">
        <w:rPr>
          <w:rStyle w:val="Heading2"/>
          <w:rFonts w:ascii="Times New Roman" w:hAnsi="Times New Roman"/>
          <w:b/>
          <w:color w:val="000000"/>
          <w:sz w:val="20"/>
          <w:lang w:val="es-AR" w:eastAsia="es-ES_tradnl"/>
        </w:rPr>
        <w:t xml:space="preserve"> según la Doctrina del "hecho continuo"</w:t>
      </w:r>
      <w:bookmarkEnd w:id="84"/>
      <w:bookmarkEnd w:id="85"/>
    </w:p>
    <w:p w14:paraId="583CC446"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Incluso si el Tribunal determinase que los Demandantes carecían de intereses defendibles en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antes de su conversión a un </w:t>
      </w:r>
      <w:r w:rsidRPr="00AB7B88">
        <w:rPr>
          <w:rStyle w:val="Bodytext13125pt"/>
          <w:rFonts w:ascii="Times New Roman" w:hAnsi="Times New Roman"/>
          <w:b w:val="0"/>
          <w:smallCaps w:val="0"/>
          <w:color w:val="000000"/>
          <w:sz w:val="20"/>
          <w:lang w:val="es-AR" w:eastAsia="es-ES_tradnl"/>
        </w:rPr>
        <w:t>fixed trust</w:t>
      </w:r>
      <w:r w:rsidRPr="00AB7B88">
        <w:rPr>
          <w:rStyle w:val="Bodytext52"/>
          <w:rFonts w:ascii="Times New Roman" w:hAnsi="Times New Roman"/>
          <w:color w:val="000000"/>
          <w:sz w:val="20"/>
          <w:lang w:val="es-AR" w:eastAsia="es-ES_tradnl"/>
        </w:rPr>
        <w:t xml:space="preserve"> el 1 de agosto de 2016, los Demandantes afirman que la Ley de Minería de Gran Porte constituye un hecho continuo o un incumplimiento continuo. Fundamentándose en esta doctrina, los Demandantes sostienen que el Tribunal tiene competencia respecto de toda la parte de la controversia que atañe a la Ley de Minería de Gran Porte (a partir de la publicación de su borrador, hasta su promulgación y aplicación antes del 1 de agosto de 2016)</w:t>
      </w:r>
      <w:r w:rsidRPr="00AB7B88">
        <w:rPr>
          <w:rStyle w:val="Bodytext52"/>
          <w:rFonts w:ascii="Times New Roman" w:hAnsi="Times New Roman"/>
          <w:color w:val="000000"/>
          <w:sz w:val="20"/>
          <w:vertAlign w:val="superscript"/>
          <w:lang w:eastAsia="es-ES_tradnl"/>
        </w:rPr>
        <w:footnoteReference w:id="240"/>
      </w:r>
      <w:r w:rsidRPr="00AB7B88">
        <w:rPr>
          <w:rStyle w:val="Bodytext52"/>
          <w:rFonts w:ascii="Times New Roman" w:hAnsi="Times New Roman"/>
          <w:color w:val="000000"/>
          <w:sz w:val="20"/>
          <w:lang w:val="es-AR" w:eastAsia="es-ES_tradnl"/>
        </w:rPr>
        <w:t>.</w:t>
      </w:r>
    </w:p>
    <w:p w14:paraId="2E4286C6"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lastRenderedPageBreak/>
        <w:t>En primer lugar, los Demandantes hacen notar que la Escritura de Modificación dotaba a los</w:t>
      </w:r>
      <w:r w:rsidR="005B35D1" w:rsidRPr="00AB7B88">
        <w:rPr>
          <w:sz w:val="20"/>
          <w:lang w:val="es-AR"/>
        </w:rPr>
        <w:t xml:space="preserve"> </w:t>
      </w:r>
      <w:r w:rsidRPr="00AB7B88">
        <w:rPr>
          <w:rStyle w:val="Bodytext52"/>
          <w:rFonts w:ascii="Times New Roman" w:hAnsi="Times New Roman"/>
          <w:color w:val="000000"/>
          <w:sz w:val="20"/>
          <w:lang w:val="es-AR" w:eastAsia="es-ES_tradnl"/>
        </w:rPr>
        <w:t xml:space="preserve">Demandantes de </w:t>
      </w:r>
      <w:r w:rsidRPr="00AB7B88">
        <w:rPr>
          <w:rStyle w:val="Bodytext13125pt"/>
          <w:rFonts w:ascii="Times New Roman" w:hAnsi="Times New Roman"/>
          <w:b w:val="0"/>
          <w:smallCaps w:val="0"/>
          <w:color w:val="000000"/>
          <w:sz w:val="20"/>
          <w:lang w:val="es-AR" w:eastAsia="es-ES_tradnl"/>
        </w:rPr>
        <w:t>"beneficial ownership</w:t>
      </w:r>
      <w:r w:rsidRPr="00AB7B88">
        <w:rPr>
          <w:rStyle w:val="Bodytext52"/>
          <w:rFonts w:ascii="Times New Roman" w:hAnsi="Times New Roman"/>
          <w:color w:val="000000"/>
          <w:sz w:val="20"/>
          <w:lang w:val="es-AR" w:eastAsia="es-ES_tradnl"/>
        </w:rPr>
        <w:t xml:space="preserve"> plena y fija de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13125pt"/>
          <w:rFonts w:ascii="Times New Roman" w:hAnsi="Times New Roman"/>
          <w:b w:val="0"/>
          <w:i w:val="0"/>
          <w:smallCaps w:val="0"/>
          <w:color w:val="000000"/>
          <w:sz w:val="20"/>
          <w:vertAlign w:val="superscript"/>
          <w:lang w:eastAsia="es-ES_tradnl"/>
        </w:rPr>
        <w:footnoteReference w:id="241"/>
      </w:r>
      <w:r w:rsidRPr="00AB7B88">
        <w:rPr>
          <w:rStyle w:val="Bodytext13125pt"/>
          <w:rFonts w:ascii="Times New Roman" w:hAnsi="Times New Roman"/>
          <w:b w:val="0"/>
          <w:i w:val="0"/>
          <w:smallCaps w:val="0"/>
          <w:color w:val="000000"/>
          <w:sz w:val="20"/>
          <w:lang w:val="es-AR" w:eastAsia="es-ES_tradnl"/>
        </w:rPr>
        <w:t>"</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Así, los Demandantes aducen que, por ende, no se debería cuestionar la jurisdicción del presente Tribunal respecto de acontecimientos o incumplimientos posteriores al 1 de agosto de 2016</w:t>
      </w:r>
      <w:r w:rsidRPr="00AB7B88">
        <w:rPr>
          <w:rStyle w:val="Bodytext52"/>
          <w:rFonts w:ascii="Times New Roman" w:hAnsi="Times New Roman"/>
          <w:color w:val="000000"/>
          <w:sz w:val="20"/>
          <w:vertAlign w:val="superscript"/>
          <w:lang w:eastAsia="es-ES_tradnl"/>
        </w:rPr>
        <w:footnoteReference w:id="242"/>
      </w:r>
      <w:r w:rsidRPr="00AB7B88">
        <w:rPr>
          <w:rStyle w:val="Bodytext52"/>
          <w:rFonts w:ascii="Times New Roman" w:hAnsi="Times New Roman"/>
          <w:color w:val="000000"/>
          <w:sz w:val="20"/>
          <w:lang w:val="es-AR" w:eastAsia="es-ES_tradnl"/>
        </w:rPr>
        <w:t>, a saber: i) la determinación del 4 de octubre de 2016 por parte del Gobierno de que Minera Aratiri estaba imposibilitada de nombrar a un sucesor de sus derechos mineros y de sus derechos a negociar un Contrato de Concesión; ii) la declaración del Gobierno, el 30 de octubre de 2017, de que durante un periodo de tres años el Gobierno del Uruguay tendría derecho exclusivo a explotar los yacimientos del Proyecto Valentines</w:t>
      </w:r>
      <w:r w:rsidRPr="00AB7B88">
        <w:rPr>
          <w:rStyle w:val="Bodytext52"/>
          <w:rFonts w:ascii="Times New Roman" w:hAnsi="Times New Roman"/>
          <w:color w:val="000000"/>
          <w:sz w:val="20"/>
          <w:vertAlign w:val="superscript"/>
          <w:lang w:eastAsia="es-ES_tradnl"/>
        </w:rPr>
        <w:footnoteReference w:id="243"/>
      </w:r>
      <w:r w:rsidRPr="00AB7B88">
        <w:rPr>
          <w:rStyle w:val="Bodytext52"/>
          <w:rFonts w:ascii="Times New Roman" w:hAnsi="Times New Roman"/>
          <w:color w:val="000000"/>
          <w:sz w:val="20"/>
          <w:lang w:val="es-AR" w:eastAsia="es-ES_tradnl"/>
        </w:rPr>
        <w:t>; y iii) el perjuicio sufrido por las inversiones de los Demandantes conforme a la Ley de Minería de Gran Porte hasta el presente</w:t>
      </w:r>
      <w:r w:rsidRPr="00AB7B88">
        <w:rPr>
          <w:rStyle w:val="Bodytext52"/>
          <w:rFonts w:ascii="Times New Roman" w:hAnsi="Times New Roman"/>
          <w:color w:val="000000"/>
          <w:sz w:val="20"/>
          <w:vertAlign w:val="superscript"/>
          <w:lang w:eastAsia="es-ES_tradnl"/>
        </w:rPr>
        <w:footnoteReference w:id="244"/>
      </w:r>
      <w:r w:rsidRPr="00AB7B88">
        <w:rPr>
          <w:rStyle w:val="Bodytext52"/>
          <w:rFonts w:ascii="Times New Roman" w:hAnsi="Times New Roman"/>
          <w:color w:val="000000"/>
          <w:sz w:val="20"/>
          <w:lang w:val="es-AR" w:eastAsia="es-ES_tradnl"/>
        </w:rPr>
        <w:t>.</w:t>
      </w:r>
    </w:p>
    <w:p w14:paraId="49392F7F"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En segundo lugar, los Demandantes sostienen que, conforme a la doctrina del incumplimiento continuo, el Tribunal "igualmente tiene jurisdicción, y los Demandantes tienen legitimación en lo que respecta a toda conducta ilícita previa al 1o de agosto de 2016 que haya continuado más allá de dicha fecha</w:t>
      </w:r>
      <w:r w:rsidRPr="00AB7B88">
        <w:rPr>
          <w:rStyle w:val="Bodytext52"/>
          <w:rFonts w:ascii="Times New Roman" w:hAnsi="Times New Roman"/>
          <w:color w:val="000000"/>
          <w:sz w:val="20"/>
          <w:vertAlign w:val="superscript"/>
          <w:lang w:eastAsia="es-ES_tradnl"/>
        </w:rPr>
        <w:footnoteReference w:id="245"/>
      </w:r>
      <w:r w:rsidRPr="00AB7B88">
        <w:rPr>
          <w:rStyle w:val="Bodytext52"/>
          <w:rFonts w:ascii="Times New Roman" w:hAnsi="Times New Roman"/>
          <w:color w:val="000000"/>
          <w:sz w:val="20"/>
          <w:lang w:val="es-AR" w:eastAsia="es-ES_tradnl"/>
        </w:rPr>
        <w:t>", "desde el anuncio de su proyecto de [Ley de Minería de Gran Porte] el 28 de septiembre de 2012</w:t>
      </w:r>
      <w:r w:rsidRPr="00AB7B88">
        <w:rPr>
          <w:rStyle w:val="Bodytext52"/>
          <w:rFonts w:ascii="Times New Roman" w:hAnsi="Times New Roman"/>
          <w:color w:val="000000"/>
          <w:sz w:val="20"/>
          <w:vertAlign w:val="superscript"/>
          <w:lang w:eastAsia="es-ES_tradnl"/>
        </w:rPr>
        <w:footnoteReference w:id="246"/>
      </w:r>
      <w:r w:rsidRPr="00AB7B88">
        <w:rPr>
          <w:rStyle w:val="Bodytext52"/>
          <w:rFonts w:ascii="Times New Roman" w:hAnsi="Times New Roman"/>
          <w:color w:val="000000"/>
          <w:sz w:val="20"/>
          <w:lang w:val="es-AR" w:eastAsia="es-ES_tradnl"/>
        </w:rPr>
        <w:t>". La mencionada ley constituye, en opinión de los Demandantes, tal "acto continuo", que permanece vigente en la actualidad y provoca un perjuicio a las inversiones de los Demandantes</w:t>
      </w:r>
      <w:r w:rsidRPr="00AB7B88">
        <w:rPr>
          <w:rStyle w:val="Bodytext52"/>
          <w:rFonts w:ascii="Times New Roman" w:hAnsi="Times New Roman"/>
          <w:color w:val="000000"/>
          <w:sz w:val="20"/>
          <w:vertAlign w:val="superscript"/>
          <w:lang w:eastAsia="es-ES_tradnl"/>
        </w:rPr>
        <w:footnoteReference w:id="247"/>
      </w:r>
      <w:r w:rsidRPr="00AB7B88">
        <w:rPr>
          <w:rStyle w:val="Bodytext52"/>
          <w:rFonts w:ascii="Times New Roman" w:hAnsi="Times New Roman"/>
          <w:color w:val="000000"/>
          <w:sz w:val="20"/>
          <w:lang w:val="es-AR" w:eastAsia="es-ES_tradnl"/>
        </w:rPr>
        <w:t>.</w:t>
      </w:r>
    </w:p>
    <w:p w14:paraId="31E0059C" w14:textId="77777777" w:rsidR="003B3957" w:rsidRPr="00AB7B88" w:rsidRDefault="003B3957" w:rsidP="006B3AC2">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Los Demandantes postulan que un hecho continuo se define como un "comportamiento que haya comenzado en determinado momento en el </w:t>
      </w:r>
      <w:r w:rsidR="006D6408" w:rsidRPr="00AB7B88">
        <w:rPr>
          <w:rStyle w:val="Bodytext52"/>
          <w:rFonts w:ascii="Times New Roman" w:hAnsi="Times New Roman"/>
          <w:color w:val="000000"/>
          <w:sz w:val="20"/>
          <w:lang w:val="es-AR" w:eastAsia="es-ES_tradnl"/>
        </w:rPr>
        <w:t>pasado, y haya constituido [...</w:t>
      </w:r>
      <w:r w:rsidRPr="00AB7B88">
        <w:rPr>
          <w:rStyle w:val="Bodytext52"/>
          <w:rFonts w:ascii="Times New Roman" w:hAnsi="Times New Roman"/>
          <w:color w:val="000000"/>
          <w:sz w:val="20"/>
          <w:lang w:val="es-AR" w:eastAsia="es-ES_tradnl"/>
        </w:rPr>
        <w:t>] una infracción en ese momento, puede continuar y dar lugar a un hecho ilícito continuado en el presente. Además, este carácter continuado puede tener importancia jurídica para diversos fines, incluso con respecto a la responsabilidad del Estado</w:t>
      </w:r>
      <w:r w:rsidRPr="00AB7B88">
        <w:rPr>
          <w:rStyle w:val="Bodytext52"/>
          <w:rFonts w:ascii="Times New Roman" w:hAnsi="Times New Roman"/>
          <w:color w:val="000000"/>
          <w:sz w:val="20"/>
          <w:vertAlign w:val="superscript"/>
          <w:lang w:eastAsia="es-ES_tradnl"/>
        </w:rPr>
        <w:footnoteReference w:id="248"/>
      </w:r>
      <w:r w:rsidRPr="00AB7B88">
        <w:rPr>
          <w:rStyle w:val="Bodytext52"/>
          <w:rFonts w:ascii="Times New Roman" w:hAnsi="Times New Roman"/>
          <w:color w:val="000000"/>
          <w:sz w:val="20"/>
          <w:lang w:val="es-AR" w:eastAsia="es-ES_tradnl"/>
        </w:rPr>
        <w:t>" y la determinación de un tribunal de su jurisdicción con respecto a incumplimientos que comenzaron antes y se prolongaron después de que un demandante obtenga legitimación</w:t>
      </w:r>
      <w:r w:rsidRPr="00AB7B88">
        <w:rPr>
          <w:rStyle w:val="Bodytext52"/>
          <w:rFonts w:ascii="Times New Roman" w:hAnsi="Times New Roman"/>
          <w:color w:val="000000"/>
          <w:sz w:val="20"/>
          <w:vertAlign w:val="superscript"/>
          <w:lang w:eastAsia="es-ES_tradnl"/>
        </w:rPr>
        <w:footnoteReference w:id="249"/>
      </w:r>
      <w:r w:rsidRPr="00AB7B88">
        <w:rPr>
          <w:rStyle w:val="Bodytext52"/>
          <w:rFonts w:ascii="Times New Roman" w:hAnsi="Times New Roman"/>
          <w:color w:val="000000"/>
          <w:sz w:val="20"/>
          <w:lang w:val="es-AR" w:eastAsia="es-ES_tradnl"/>
        </w:rPr>
        <w:t xml:space="preserve">. Los Demandantes postulan que un </w:t>
      </w:r>
      <w:r w:rsidRPr="00AB7B88">
        <w:rPr>
          <w:rStyle w:val="Bodytext52"/>
          <w:rFonts w:ascii="Times New Roman" w:hAnsi="Times New Roman"/>
          <w:color w:val="000000"/>
          <w:sz w:val="20"/>
          <w:lang w:val="es-AR" w:eastAsia="es-ES_tradnl"/>
        </w:rPr>
        <w:lastRenderedPageBreak/>
        <w:t>ejemplo de "hecho ilícito" es "mantener en vigor disposiciones legislativas incompatibles con las obligaciones contraídas en virtud de tratados del Estado que las ha promulgado</w:t>
      </w:r>
      <w:r w:rsidRPr="00AB7B88">
        <w:rPr>
          <w:rStyle w:val="Bodytext52"/>
          <w:rFonts w:ascii="Times New Roman" w:hAnsi="Times New Roman"/>
          <w:color w:val="000000"/>
          <w:sz w:val="20"/>
          <w:vertAlign w:val="superscript"/>
          <w:lang w:eastAsia="es-ES_tradnl"/>
        </w:rPr>
        <w:footnoteReference w:id="250"/>
      </w:r>
      <w:r w:rsidRPr="00AB7B88">
        <w:rPr>
          <w:rStyle w:val="Bodytext52"/>
          <w:rFonts w:ascii="Times New Roman" w:hAnsi="Times New Roman"/>
          <w:color w:val="000000"/>
          <w:sz w:val="20"/>
          <w:lang w:val="es-AR" w:eastAsia="es-ES_tradnl"/>
        </w:rPr>
        <w:t>", como la Ley de Minería de Gran Porte. Los Demandantes rechazan el argumento de la Demandada que la doctrina del hecho continuo no resulta de aplicación al presente procedimiento porque la controversia antecede a la fecha en la que los Demandantes se convirtieron en inversores</w:t>
      </w:r>
      <w:r w:rsidRPr="00AB7B88">
        <w:rPr>
          <w:rStyle w:val="Bodytext52"/>
          <w:rFonts w:ascii="Times New Roman" w:hAnsi="Times New Roman"/>
          <w:color w:val="000000"/>
          <w:sz w:val="20"/>
          <w:vertAlign w:val="superscript"/>
          <w:lang w:eastAsia="es-ES_tradnl"/>
        </w:rPr>
        <w:footnoteReference w:id="251"/>
      </w:r>
      <w:r w:rsidRPr="00AB7B88">
        <w:rPr>
          <w:rStyle w:val="Bodytext52"/>
          <w:rFonts w:ascii="Times New Roman" w:hAnsi="Times New Roman"/>
          <w:color w:val="000000"/>
          <w:sz w:val="20"/>
          <w:lang w:val="es-AR" w:eastAsia="es-ES_tradnl"/>
        </w:rPr>
        <w:t>. Consideran que la presente no es una controversia preexistente porque, para haberse concretado como una controversia, se presupone "un cierto grado de comunicación entre las partes" y "algún tipo de expresión de desacuerdo</w:t>
      </w:r>
      <w:r w:rsidRPr="00AB7B88">
        <w:rPr>
          <w:rStyle w:val="Bodytext52"/>
          <w:rFonts w:ascii="Times New Roman" w:hAnsi="Times New Roman"/>
          <w:color w:val="000000"/>
          <w:sz w:val="20"/>
          <w:vertAlign w:val="superscript"/>
          <w:lang w:eastAsia="es-ES_tradnl"/>
        </w:rPr>
        <w:footnoteReference w:id="252"/>
      </w:r>
      <w:r w:rsidRPr="00AB7B88">
        <w:rPr>
          <w:rStyle w:val="Bodytext52"/>
          <w:rFonts w:ascii="Times New Roman" w:hAnsi="Times New Roman"/>
          <w:color w:val="000000"/>
          <w:sz w:val="20"/>
          <w:lang w:val="es-AR" w:eastAsia="es-ES_tradnl"/>
        </w:rPr>
        <w:t>". Los Demandantes sostienen que no existió una comunicación formal de un desacuerdo expreso entre las Partes en una fecha anterior al 1 de agosto de 2016</w:t>
      </w:r>
      <w:r w:rsidRPr="00AB7B88">
        <w:rPr>
          <w:rStyle w:val="Bodytext52"/>
          <w:rFonts w:ascii="Times New Roman" w:hAnsi="Times New Roman"/>
          <w:color w:val="000000"/>
          <w:sz w:val="20"/>
          <w:vertAlign w:val="superscript"/>
          <w:lang w:eastAsia="es-ES_tradnl"/>
        </w:rPr>
        <w:footnoteReference w:id="253"/>
      </w:r>
      <w:r w:rsidRPr="00AB7B88">
        <w:rPr>
          <w:rStyle w:val="Bodytext52"/>
          <w:rFonts w:ascii="Times New Roman" w:hAnsi="Times New Roman"/>
          <w:color w:val="000000"/>
          <w:sz w:val="20"/>
          <w:lang w:val="es-AR" w:eastAsia="es-ES_tradnl"/>
        </w:rPr>
        <w:t>.</w:t>
      </w:r>
    </w:p>
    <w:p w14:paraId="7A440FC7" w14:textId="77777777" w:rsidR="003B3957" w:rsidRPr="00AB7B88" w:rsidRDefault="003B3957" w:rsidP="006B3AC2">
      <w:pPr>
        <w:pStyle w:val="Bodytext1"/>
        <w:numPr>
          <w:ilvl w:val="0"/>
          <w:numId w:val="41"/>
        </w:numPr>
        <w:shd w:val="clear" w:color="auto" w:fill="auto"/>
        <w:tabs>
          <w:tab w:val="left" w:pos="73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tercer lugar, los Demandantes "rechazan categóricamente" la aseveración de la Demandada de que la decisión del Sr. Agarwal de convertir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en un </w:t>
      </w:r>
      <w:r w:rsidRPr="00AB7B88">
        <w:rPr>
          <w:rStyle w:val="Bodytext13125pt"/>
          <w:rFonts w:ascii="Times New Roman" w:hAnsi="Times New Roman"/>
          <w:b w:val="0"/>
          <w:smallCaps w:val="0"/>
          <w:color w:val="000000"/>
          <w:sz w:val="20"/>
          <w:lang w:val="es-AR" w:eastAsia="es-ES_tradnl"/>
        </w:rPr>
        <w:t>fixed trust</w:t>
      </w:r>
      <w:r w:rsidRPr="00AB7B88">
        <w:rPr>
          <w:rStyle w:val="Bodytext52"/>
          <w:rFonts w:ascii="Times New Roman" w:hAnsi="Times New Roman"/>
          <w:color w:val="000000"/>
          <w:sz w:val="20"/>
          <w:lang w:val="es-AR" w:eastAsia="es-ES_tradnl"/>
        </w:rPr>
        <w:t xml:space="preserve"> el 1 de agosto de 2016 constituyó un abuso de proceso</w:t>
      </w:r>
      <w:r w:rsidRPr="00AB7B88">
        <w:rPr>
          <w:rStyle w:val="Bodytext52"/>
          <w:rFonts w:ascii="Times New Roman" w:hAnsi="Times New Roman"/>
          <w:color w:val="000000"/>
          <w:sz w:val="20"/>
          <w:vertAlign w:val="superscript"/>
          <w:lang w:eastAsia="es-ES_tradnl"/>
        </w:rPr>
        <w:footnoteReference w:id="254"/>
      </w:r>
      <w:r w:rsidRPr="00AB7B88">
        <w:rPr>
          <w:rStyle w:val="Bodytext52"/>
          <w:rFonts w:ascii="Times New Roman" w:hAnsi="Times New Roman"/>
          <w:color w:val="000000"/>
          <w:sz w:val="20"/>
          <w:lang w:val="es-AR" w:eastAsia="es-ES_tradnl"/>
        </w:rPr>
        <w:t xml:space="preserve">. Los Demandantes explican que la decisión de convertir el </w:t>
      </w:r>
      <w:r w:rsidRPr="00AB7B88">
        <w:rPr>
          <w:rStyle w:val="Bodytext13125pt"/>
          <w:rFonts w:ascii="Times New Roman" w:hAnsi="Times New Roman"/>
          <w:b w:val="0"/>
          <w:smallCaps w:val="0"/>
          <w:color w:val="000000"/>
          <w:sz w:val="20"/>
          <w:lang w:val="es-AR" w:eastAsia="es-ES_tradnl"/>
        </w:rPr>
        <w:t xml:space="preserve">Trust </w:t>
      </w:r>
      <w:r w:rsidRPr="00AB7B88">
        <w:rPr>
          <w:rStyle w:val="Bodytext52"/>
          <w:rFonts w:ascii="Times New Roman" w:hAnsi="Times New Roman"/>
          <w:color w:val="000000"/>
          <w:sz w:val="20"/>
          <w:lang w:val="es-AR" w:eastAsia="es-ES_tradnl"/>
        </w:rPr>
        <w:t xml:space="preserve">fue motivada por la solicitud de la Sra. Anjani Vasson de que se la excluyera formalmente del </w:t>
      </w:r>
      <w:r w:rsidRPr="00AB7B88">
        <w:rPr>
          <w:rStyle w:val="Bodytext13125pt"/>
          <w:rFonts w:ascii="Times New Roman" w:hAnsi="Times New Roman"/>
          <w:b w:val="0"/>
          <w:smallCaps w:val="0"/>
          <w:color w:val="000000"/>
          <w:sz w:val="20"/>
          <w:lang w:val="es-AR" w:eastAsia="es-ES_tradnl"/>
        </w:rPr>
        <w:t xml:space="preserve">Trust </w:t>
      </w:r>
      <w:r w:rsidRPr="00AB7B88">
        <w:rPr>
          <w:rStyle w:val="Bodytext52"/>
          <w:rFonts w:ascii="Times New Roman" w:hAnsi="Times New Roman"/>
          <w:color w:val="000000"/>
          <w:sz w:val="20"/>
          <w:lang w:val="es-AR" w:eastAsia="es-ES_tradnl"/>
        </w:rPr>
        <w:t>con el fin de evitar las consecuencias tributarias adversas derivadas de su obtención de la ciudadanía estadounidense</w:t>
      </w:r>
      <w:r w:rsidRPr="00AB7B88">
        <w:rPr>
          <w:rStyle w:val="Bodytext52"/>
          <w:rFonts w:ascii="Times New Roman" w:hAnsi="Times New Roman"/>
          <w:color w:val="000000"/>
          <w:sz w:val="20"/>
          <w:vertAlign w:val="superscript"/>
          <w:lang w:eastAsia="es-ES_tradnl"/>
        </w:rPr>
        <w:footnoteReference w:id="255"/>
      </w:r>
      <w:r w:rsidRPr="00AB7B88">
        <w:rPr>
          <w:rStyle w:val="Bodytext52"/>
          <w:rFonts w:ascii="Times New Roman" w:hAnsi="Times New Roman"/>
          <w:color w:val="000000"/>
          <w:sz w:val="20"/>
          <w:lang w:val="es-AR" w:eastAsia="es-ES_tradnl"/>
        </w:rPr>
        <w:t>. Los Demandantes afirman que la Demandada no ha presentado "prueba alguna" en sustento de sus serias alegaciones sobre abuso de proceso; y, en realidad, dichos medios de prueba no existen</w:t>
      </w:r>
      <w:r w:rsidRPr="00AB7B88">
        <w:rPr>
          <w:rStyle w:val="Bodytext52"/>
          <w:rFonts w:ascii="Times New Roman" w:hAnsi="Times New Roman"/>
          <w:color w:val="000000"/>
          <w:sz w:val="20"/>
          <w:vertAlign w:val="superscript"/>
          <w:lang w:eastAsia="es-ES_tradnl"/>
        </w:rPr>
        <w:footnoteReference w:id="256"/>
      </w:r>
      <w:r w:rsidRPr="00AB7B88">
        <w:rPr>
          <w:rStyle w:val="Bodytext52"/>
          <w:rFonts w:ascii="Times New Roman" w:hAnsi="Times New Roman"/>
          <w:color w:val="000000"/>
          <w:sz w:val="20"/>
          <w:lang w:val="es-AR" w:eastAsia="es-ES_tradnl"/>
        </w:rPr>
        <w:t xml:space="preserve">. Los Demandantes afirman para concluir que la Demandada no puede sustanciar sus pretensiones, en parte, porque el Sr. Agarwal no tenía la necesidad de convertir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en un </w:t>
      </w:r>
      <w:r w:rsidRPr="00AB7B88">
        <w:rPr>
          <w:rStyle w:val="Bodytext13125pt"/>
          <w:rFonts w:ascii="Times New Roman" w:hAnsi="Times New Roman"/>
          <w:b w:val="0"/>
          <w:smallCaps w:val="0"/>
          <w:color w:val="000000"/>
          <w:sz w:val="20"/>
          <w:lang w:val="es-AR" w:eastAsia="es-ES_tradnl"/>
        </w:rPr>
        <w:t>fixed trust</w:t>
      </w:r>
      <w:r w:rsidRPr="00AB7B88">
        <w:rPr>
          <w:rStyle w:val="Bodytext52"/>
          <w:rFonts w:ascii="Times New Roman" w:hAnsi="Times New Roman"/>
          <w:color w:val="000000"/>
          <w:sz w:val="20"/>
          <w:lang w:val="es-AR" w:eastAsia="es-ES_tradnl"/>
        </w:rPr>
        <w:t xml:space="preserve"> para comenzar este arbitraje, puesto que los Demandantes se encontraban legitimados para entablar sus pretensiones como </w:t>
      </w:r>
      <w:r w:rsidRPr="00AB7B88">
        <w:rPr>
          <w:rStyle w:val="Bodytext13125pt"/>
          <w:rFonts w:ascii="Times New Roman" w:hAnsi="Times New Roman"/>
          <w:b w:val="0"/>
          <w:smallCaps w:val="0"/>
          <w:color w:val="000000"/>
          <w:sz w:val="20"/>
          <w:lang w:val="es-AR" w:eastAsia="es-ES_tradnl"/>
        </w:rPr>
        <w:t>discretionarybeneficiaries</w:t>
      </w:r>
      <w:r w:rsidRPr="00AB7B88">
        <w:rPr>
          <w:rStyle w:val="Bodytext13125pt"/>
          <w:rFonts w:ascii="Times New Roman" w:hAnsi="Times New Roman"/>
          <w:b w:val="0"/>
          <w:i w:val="0"/>
          <w:smallCaps w:val="0"/>
          <w:color w:val="000000"/>
          <w:sz w:val="20"/>
          <w:vertAlign w:val="superscript"/>
          <w:lang w:eastAsia="es-ES_tradnl"/>
        </w:rPr>
        <w:footnoteReference w:id="257"/>
      </w:r>
      <w:r w:rsidRPr="00AB7B88">
        <w:rPr>
          <w:rStyle w:val="Bodytext13125pt"/>
          <w:rFonts w:ascii="Times New Roman" w:hAnsi="Times New Roman"/>
          <w:b w:val="0"/>
          <w:smallCaps w:val="0"/>
          <w:color w:val="000000"/>
          <w:sz w:val="20"/>
          <w:lang w:val="es-AR" w:eastAsia="es-ES_tradnl"/>
        </w:rPr>
        <w:t>.</w:t>
      </w:r>
    </w:p>
    <w:p w14:paraId="201E4AE4" w14:textId="77777777" w:rsidR="003B3957" w:rsidRPr="00AB7B88" w:rsidRDefault="003B3957" w:rsidP="001228EE">
      <w:pPr>
        <w:pStyle w:val="Heading20"/>
        <w:keepNext/>
        <w:keepLines/>
        <w:numPr>
          <w:ilvl w:val="0"/>
          <w:numId w:val="43"/>
        </w:numPr>
        <w:shd w:val="clear" w:color="auto" w:fill="auto"/>
        <w:tabs>
          <w:tab w:val="left" w:pos="340"/>
        </w:tabs>
        <w:spacing w:before="380" w:after="0" w:line="360" w:lineRule="auto"/>
        <w:ind w:firstLine="0"/>
        <w:rPr>
          <w:rFonts w:ascii="Times New Roman" w:hAnsi="Times New Roman"/>
          <w:b w:val="0"/>
          <w:sz w:val="20"/>
          <w:lang w:val="es-AR"/>
        </w:rPr>
      </w:pPr>
      <w:bookmarkStart w:id="86" w:name="bookmark87"/>
      <w:bookmarkStart w:id="87" w:name="bookmark88"/>
      <w:r w:rsidRPr="00AB7B88">
        <w:rPr>
          <w:rStyle w:val="Heading2"/>
          <w:rFonts w:ascii="Times New Roman" w:hAnsi="Times New Roman"/>
          <w:b/>
          <w:color w:val="000000"/>
          <w:sz w:val="20"/>
          <w:lang w:val="es-AR" w:eastAsia="es-ES_tradnl"/>
        </w:rPr>
        <w:lastRenderedPageBreak/>
        <w:t xml:space="preserve">Jurisdicción </w:t>
      </w:r>
      <w:r w:rsidRPr="00AB7B88">
        <w:rPr>
          <w:rStyle w:val="Bodytext145pt"/>
          <w:rFonts w:ascii="Times New Roman" w:eastAsia="Calibri" w:hAnsi="Times New Roman"/>
          <w:b/>
          <w:bCs/>
          <w:smallCaps w:val="0"/>
          <w:color w:val="000000"/>
          <w:sz w:val="20"/>
          <w:lang w:val="es-AR" w:eastAsia="es-ES_tradnl"/>
        </w:rPr>
        <w:t>ratione temporis:</w:t>
      </w:r>
      <w:r w:rsidRPr="00AB7B88">
        <w:rPr>
          <w:rStyle w:val="Heading2"/>
          <w:rFonts w:ascii="Times New Roman" w:hAnsi="Times New Roman"/>
          <w:b/>
          <w:color w:val="000000"/>
          <w:sz w:val="20"/>
          <w:lang w:val="es-AR" w:eastAsia="es-ES_tradnl"/>
        </w:rPr>
        <w:t xml:space="preserve"> el análisis del Tribunal</w:t>
      </w:r>
      <w:bookmarkEnd w:id="86"/>
      <w:bookmarkEnd w:id="87"/>
    </w:p>
    <w:p w14:paraId="452BE192" w14:textId="77777777" w:rsidR="003B3957" w:rsidRPr="00AB7B88" w:rsidRDefault="003B3957" w:rsidP="005A48F8">
      <w:pPr>
        <w:pStyle w:val="Bodytext1"/>
        <w:numPr>
          <w:ilvl w:val="0"/>
          <w:numId w:val="41"/>
        </w:numPr>
        <w:shd w:val="clear" w:color="auto" w:fill="auto"/>
        <w:tabs>
          <w:tab w:val="left" w:pos="729"/>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Antes de considerar la primera objeción, el Tribunal abordará las presentaciones de las Partes sobre el derecho aplicable.</w:t>
      </w:r>
    </w:p>
    <w:p w14:paraId="3F798896" w14:textId="77777777" w:rsidR="003B3957" w:rsidRPr="00AB7B88" w:rsidRDefault="003B3957" w:rsidP="00071855">
      <w:pPr>
        <w:pStyle w:val="Heading20"/>
        <w:keepNext/>
        <w:keepLines/>
        <w:numPr>
          <w:ilvl w:val="0"/>
          <w:numId w:val="47"/>
        </w:numPr>
        <w:shd w:val="clear" w:color="auto" w:fill="auto"/>
        <w:tabs>
          <w:tab w:val="left" w:pos="340"/>
        </w:tabs>
        <w:spacing w:before="380" w:after="0" w:line="360" w:lineRule="auto"/>
        <w:ind w:firstLine="0"/>
        <w:rPr>
          <w:rFonts w:ascii="Times New Roman" w:hAnsi="Times New Roman"/>
          <w:b w:val="0"/>
          <w:sz w:val="20"/>
        </w:rPr>
      </w:pPr>
      <w:bookmarkStart w:id="88" w:name="bookmark89"/>
      <w:bookmarkStart w:id="89" w:name="bookmark90"/>
      <w:r w:rsidRPr="00AB7B88">
        <w:rPr>
          <w:rStyle w:val="Heading2"/>
          <w:rFonts w:ascii="Times New Roman" w:hAnsi="Times New Roman"/>
          <w:b/>
          <w:color w:val="000000"/>
          <w:sz w:val="20"/>
          <w:lang w:eastAsia="es-ES_tradnl"/>
        </w:rPr>
        <w:t>Derecho aplicable</w:t>
      </w:r>
      <w:bookmarkEnd w:id="88"/>
      <w:bookmarkEnd w:id="89"/>
    </w:p>
    <w:p w14:paraId="3479C792" w14:textId="77777777" w:rsidR="003B3957" w:rsidRPr="00AB7B88" w:rsidRDefault="003B3957" w:rsidP="006B3AC2">
      <w:pPr>
        <w:pStyle w:val="Bodytext1"/>
        <w:numPr>
          <w:ilvl w:val="0"/>
          <w:numId w:val="41"/>
        </w:numPr>
        <w:shd w:val="clear" w:color="auto" w:fill="auto"/>
        <w:tabs>
          <w:tab w:val="left" w:pos="73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En el Escrito de Contestación (Jurisdicción), los Demandantes sostuvieron:</w:t>
      </w:r>
    </w:p>
    <w:p w14:paraId="3EEA0727" w14:textId="77777777" w:rsidR="003B3957" w:rsidRPr="00AB7B88" w:rsidRDefault="003B3957" w:rsidP="00E348AC">
      <w:pPr>
        <w:pStyle w:val="Bodytext1"/>
        <w:shd w:val="clear" w:color="auto" w:fill="auto"/>
        <w:spacing w:before="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El TBI y el derecho internacional general son la ley que rige este procedimiento. El derecho de las Islas Caimán no es la ley aplicable y el Tribunal no puede recurrir a él para responder al interrogante jurídico de quién, si el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o un beneficiario, tiene derecho a invocar el TBI en relación con bienes mantenidos por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Dicha respuesta debe encontrarse exclusivamente en el TBI y en el derecho internacional, antes que provenir de un tribunal de las Islas Caimán o de la jurisprudencia nacional. En términos sencillos, "el modo en que procedería un tribunal de las Islas Caimán" no puede responder a dicho interrogante</w:t>
      </w:r>
      <w:r w:rsidRPr="00AB7B88">
        <w:rPr>
          <w:rStyle w:val="Bodytext52"/>
          <w:rFonts w:ascii="Times New Roman" w:hAnsi="Times New Roman"/>
          <w:color w:val="000000"/>
          <w:sz w:val="20"/>
          <w:vertAlign w:val="superscript"/>
          <w:lang w:eastAsia="es-ES_tradnl"/>
        </w:rPr>
        <w:footnoteReference w:id="258"/>
      </w:r>
      <w:r w:rsidRPr="00AB7B88">
        <w:rPr>
          <w:rStyle w:val="Bodytext52"/>
          <w:rFonts w:ascii="Times New Roman" w:hAnsi="Times New Roman"/>
          <w:color w:val="000000"/>
          <w:sz w:val="20"/>
          <w:lang w:val="es-AR" w:eastAsia="es-ES_tradnl"/>
        </w:rPr>
        <w:t>.</w:t>
      </w:r>
    </w:p>
    <w:p w14:paraId="33213836" w14:textId="77777777" w:rsidR="003B3957" w:rsidRPr="00AB7B88" w:rsidRDefault="003B3957" w:rsidP="006B3AC2">
      <w:pPr>
        <w:pStyle w:val="Bodytext1"/>
        <w:numPr>
          <w:ilvl w:val="0"/>
          <w:numId w:val="41"/>
        </w:numPr>
        <w:shd w:val="clear" w:color="auto" w:fill="auto"/>
        <w:tabs>
          <w:tab w:val="left" w:pos="73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Los Demandantes reiteraron este punto en sus argumentos finales:</w:t>
      </w:r>
    </w:p>
    <w:p w14:paraId="1C764FAE" w14:textId="77777777" w:rsidR="003B3957" w:rsidRPr="00AB7B88" w:rsidRDefault="003B3957" w:rsidP="00AD3910">
      <w:pPr>
        <w:pStyle w:val="Bodytext1"/>
        <w:shd w:val="clear" w:color="auto" w:fill="auto"/>
        <w:spacing w:before="0" w:line="360" w:lineRule="auto"/>
        <w:ind w:left="522" w:right="23" w:firstLine="0"/>
        <w:jc w:val="both"/>
        <w:rPr>
          <w:sz w:val="20"/>
          <w:lang w:val="es-AR"/>
        </w:rPr>
      </w:pPr>
      <w:r w:rsidRPr="00AB7B88">
        <w:rPr>
          <w:rStyle w:val="Bodytext52"/>
          <w:rFonts w:ascii="Times New Roman" w:hAnsi="Times New Roman"/>
          <w:color w:val="000000"/>
          <w:sz w:val="20"/>
          <w:lang w:val="es-AR" w:eastAsia="es-ES_tradnl"/>
        </w:rPr>
        <w:t xml:space="preserve">El tema de l[os] </w:t>
      </w:r>
      <w:r w:rsidRPr="00AB7B88">
        <w:rPr>
          <w:rStyle w:val="Bodytext13125pt"/>
          <w:rFonts w:ascii="Times New Roman" w:hAnsi="Times New Roman"/>
          <w:b w:val="0"/>
          <w:bCs w:val="0"/>
          <w:smallCaps w:val="0"/>
          <w:color w:val="000000"/>
          <w:sz w:val="20"/>
          <w:lang w:val="es-AR" w:eastAsia="es-ES_tradnl"/>
        </w:rPr>
        <w:t>discretionary beneficiaries</w:t>
      </w:r>
      <w:r w:rsidRPr="00AB7B88">
        <w:rPr>
          <w:rStyle w:val="Bodytext52"/>
          <w:rFonts w:ascii="Times New Roman" w:hAnsi="Times New Roman"/>
          <w:color w:val="000000"/>
          <w:sz w:val="20"/>
          <w:lang w:val="es-AR" w:eastAsia="es-ES_tradnl"/>
        </w:rPr>
        <w:t xml:space="preserve"> es un tema de primeras impresiones, pero las demandantes no pueden decir, por ejemplo, que esto no existe. Las demandantes lo que ven es simplemente una aplicación específica de una definición de la palabra "inversión" en el TBI entre Uruguay y el Reino Unido en cuanto a los hechos específicos de este caso en particular</w:t>
      </w:r>
      <w:r w:rsidR="00587406" w:rsidRPr="00AB7B88">
        <w:rPr>
          <w:rStyle w:val="FootnoteReference"/>
          <w:rFonts w:cs="Palatino Linotype"/>
          <w:color w:val="000000"/>
          <w:sz w:val="20"/>
          <w:szCs w:val="19"/>
          <w:lang w:val="es-AR" w:eastAsia="es-ES_tradnl"/>
        </w:rPr>
        <w:footnoteReference w:id="259"/>
      </w:r>
      <w:r w:rsidRPr="00AB7B88">
        <w:rPr>
          <w:rStyle w:val="Bodytext52"/>
          <w:rFonts w:ascii="Times New Roman" w:hAnsi="Times New Roman"/>
          <w:color w:val="000000"/>
          <w:sz w:val="20"/>
          <w:lang w:val="es-AR" w:eastAsia="es-ES_tradnl"/>
        </w:rPr>
        <w:t>.</w:t>
      </w:r>
    </w:p>
    <w:p w14:paraId="01DB7472" w14:textId="77777777" w:rsidR="003B3957" w:rsidRPr="00AB7B88" w:rsidRDefault="003B3957" w:rsidP="006B3AC2">
      <w:pPr>
        <w:pStyle w:val="Bodytext1"/>
        <w:numPr>
          <w:ilvl w:val="0"/>
          <w:numId w:val="41"/>
        </w:numPr>
        <w:shd w:val="clear" w:color="auto" w:fill="auto"/>
        <w:tabs>
          <w:tab w:val="left" w:pos="51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Los Demandantes afirmaron que, en cuanto a las respectivas funciones del derecho internacional e interno, conforme a la Convención de Viena, el TBI y sus términos "inversión" y "cada clase de bien", se deben interpretar solo en el contexto del TBI mismo y de su objeto y fin, o si su significado no es claro conforme al derecho internacional general. El TBI y sus términos "inversión" y "cada clase de bien" no se pueden interpretar en referencia al derecho interno, y aún menos puede hacerse en referencia al derecho interno de un tercer Estado como las Islas Caimán que no es parte del TBI</w:t>
      </w:r>
      <w:r w:rsidR="0061492A" w:rsidRPr="00AB7B88">
        <w:rPr>
          <w:rStyle w:val="FootnoteReference"/>
          <w:rFonts w:cs="Palatino Linotype"/>
          <w:color w:val="000000"/>
          <w:sz w:val="20"/>
          <w:szCs w:val="19"/>
          <w:lang w:val="es-AR" w:eastAsia="es-ES_tradnl"/>
        </w:rPr>
        <w:footnoteReference w:id="260"/>
      </w:r>
      <w:r w:rsidRPr="00AB7B88">
        <w:rPr>
          <w:rStyle w:val="Bodytext52"/>
          <w:rFonts w:ascii="Times New Roman" w:hAnsi="Times New Roman"/>
          <w:color w:val="000000"/>
          <w:sz w:val="20"/>
          <w:lang w:val="es-AR" w:eastAsia="es-ES_tradnl"/>
        </w:rPr>
        <w:t>.</w:t>
      </w:r>
    </w:p>
    <w:p w14:paraId="5B0EEFA9" w14:textId="77777777" w:rsidR="003B3957" w:rsidRPr="00AB7B88" w:rsidRDefault="003B3957" w:rsidP="006B3AC2">
      <w:pPr>
        <w:pStyle w:val="Bodytext1"/>
        <w:numPr>
          <w:ilvl w:val="0"/>
          <w:numId w:val="41"/>
        </w:numPr>
        <w:shd w:val="clear" w:color="auto" w:fill="auto"/>
        <w:tabs>
          <w:tab w:val="left" w:pos="51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Los Demandantes insistieron en la pertinencia limitada del derecho de las Islas Caimán:</w:t>
      </w:r>
    </w:p>
    <w:p w14:paraId="670D13B7" w14:textId="77777777" w:rsidR="003B3957" w:rsidRPr="00AB7B88" w:rsidRDefault="003B3957" w:rsidP="003D3BA8">
      <w:pPr>
        <w:pStyle w:val="Bodytext1"/>
        <w:shd w:val="clear" w:color="auto" w:fill="auto"/>
        <w:spacing w:before="0" w:line="360" w:lineRule="auto"/>
        <w:ind w:left="522" w:right="23" w:firstLine="0"/>
        <w:jc w:val="both"/>
        <w:rPr>
          <w:sz w:val="20"/>
          <w:lang w:val="es-AR"/>
        </w:rPr>
      </w:pPr>
      <w:r w:rsidRPr="00AB7B88">
        <w:rPr>
          <w:rStyle w:val="Bodytext52"/>
          <w:rFonts w:ascii="Times New Roman" w:hAnsi="Times New Roman"/>
          <w:color w:val="000000"/>
          <w:sz w:val="20"/>
          <w:lang w:val="es-AR" w:eastAsia="es-ES_tradnl"/>
        </w:rPr>
        <w:t xml:space="preserve">Aplicar la legislación caimaneso a una interpretación solamente sería posible si hubiese cuestionamientos respecto de silos derechos de los </w:t>
      </w:r>
      <w:r w:rsidRPr="00AB7B88">
        <w:rPr>
          <w:rStyle w:val="Bodytext13125pt"/>
          <w:rFonts w:ascii="Times New Roman" w:hAnsi="Times New Roman"/>
          <w:b w:val="0"/>
          <w:bCs w:val="0"/>
          <w:smallCaps w:val="0"/>
          <w:color w:val="000000"/>
          <w:sz w:val="20"/>
          <w:lang w:val="es-AR" w:eastAsia="es-ES_tradnl"/>
        </w:rPr>
        <w:t>discretionary beneficiaries</w:t>
      </w:r>
      <w:r w:rsidRPr="00AB7B88">
        <w:rPr>
          <w:rStyle w:val="Bodytext52"/>
          <w:rFonts w:ascii="Times New Roman" w:hAnsi="Times New Roman"/>
          <w:color w:val="000000"/>
          <w:sz w:val="20"/>
          <w:lang w:val="es-AR" w:eastAsia="es-ES_tradnl"/>
        </w:rPr>
        <w:t xml:space="preserve"> u otros aspectos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hubiesen estado establecidos válidamente. Pero esa cuestión no se plantea en este caso. Así que hay que considerar los </w:t>
      </w:r>
      <w:r w:rsidRPr="00AB7B88">
        <w:rPr>
          <w:rStyle w:val="Bodytext52"/>
          <w:rFonts w:ascii="Times New Roman" w:hAnsi="Times New Roman"/>
          <w:color w:val="000000"/>
          <w:sz w:val="20"/>
          <w:lang w:val="es-AR" w:eastAsia="es-ES_tradnl"/>
        </w:rPr>
        <w:lastRenderedPageBreak/>
        <w:t xml:space="preserve">diferentes hechos relativos al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para determinar si los términos del TBI quedan satisfechos. La ley caimanesa en sí y su caracterización en cuanto a lo que tenian o no tenían los Demandantes, eso carece de pertinencia como elemento interpretativo</w:t>
      </w:r>
      <w:r w:rsidR="0098262F" w:rsidRPr="00AB7B88">
        <w:rPr>
          <w:rStyle w:val="FootnoteReference"/>
          <w:rFonts w:cs="Palatino Linotype"/>
          <w:color w:val="000000"/>
          <w:sz w:val="20"/>
          <w:szCs w:val="19"/>
          <w:lang w:val="es-AR" w:eastAsia="es-ES_tradnl"/>
        </w:rPr>
        <w:footnoteReference w:id="261"/>
      </w:r>
      <w:r w:rsidRPr="00AB7B88">
        <w:rPr>
          <w:rStyle w:val="Bodytext52"/>
          <w:rFonts w:ascii="Times New Roman" w:hAnsi="Times New Roman"/>
          <w:color w:val="000000"/>
          <w:sz w:val="20"/>
          <w:lang w:val="es-AR" w:eastAsia="es-ES_tradnl"/>
        </w:rPr>
        <w:t>.</w:t>
      </w:r>
    </w:p>
    <w:p w14:paraId="7BBA44D8" w14:textId="77777777" w:rsidR="003B3957" w:rsidRPr="00AB7B88" w:rsidRDefault="003B3957" w:rsidP="000053F7">
      <w:pPr>
        <w:pStyle w:val="Bodytext1"/>
        <w:numPr>
          <w:ilvl w:val="0"/>
          <w:numId w:val="41"/>
        </w:numPr>
        <w:shd w:val="clear" w:color="auto" w:fill="auto"/>
        <w:tabs>
          <w:tab w:val="left" w:pos="514"/>
        </w:tabs>
        <w:spacing w:before="380" w:line="360" w:lineRule="auto"/>
        <w:ind w:left="520"/>
        <w:jc w:val="both"/>
        <w:rPr>
          <w:sz w:val="20"/>
          <w:lang w:val="es-AR"/>
        </w:rPr>
      </w:pPr>
      <w:r w:rsidRPr="00AB7B88">
        <w:rPr>
          <w:rStyle w:val="Bodytext52"/>
          <w:rFonts w:ascii="Times New Roman" w:hAnsi="Times New Roman"/>
          <w:color w:val="000000"/>
          <w:sz w:val="20"/>
          <w:lang w:val="es-AR" w:eastAsia="es-ES_tradnl"/>
        </w:rPr>
        <w:t xml:space="preserve">La Demandada ha cuestionado la función limitada del derecho de las Islas Caimán que propugnan los Demandantes. A juicio de la Demandada, el derecho de las Islas Caimán es "decisivo para determinar si las Demandantes son titulares de una inversión protegida, dado que es este derecho el que establece el alcance de los derechos de las Demandantes como </w:t>
      </w:r>
      <w:r w:rsidRPr="00AB7B88">
        <w:rPr>
          <w:rStyle w:val="Bodytext13125pt"/>
          <w:rFonts w:ascii="Times New Roman" w:hAnsi="Times New Roman"/>
          <w:b w:val="0"/>
          <w:bCs w:val="0"/>
          <w:smallCaps w:val="0"/>
          <w:color w:val="000000"/>
          <w:sz w:val="20"/>
          <w:lang w:val="es-AR" w:eastAsia="es-ES_tradnl"/>
        </w:rPr>
        <w:t>discretionary beneficiaries</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bajo un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establecido con arreglo a la ley de las Islas Caimán</w:t>
      </w:r>
      <w:r w:rsidR="002B2E55" w:rsidRPr="00AB7B88">
        <w:rPr>
          <w:rStyle w:val="FootnoteReference"/>
          <w:rFonts w:cs="Palatino Linotype"/>
          <w:color w:val="000000"/>
          <w:sz w:val="20"/>
          <w:szCs w:val="19"/>
          <w:lang w:val="es-AR" w:eastAsia="es-ES_tradnl"/>
        </w:rPr>
        <w:footnoteReference w:id="262"/>
      </w:r>
      <w:r w:rsidRPr="00AB7B88">
        <w:rPr>
          <w:rStyle w:val="Bodytext52"/>
          <w:rFonts w:ascii="Times New Roman" w:hAnsi="Times New Roman"/>
          <w:color w:val="000000"/>
          <w:sz w:val="20"/>
          <w:lang w:val="es-AR" w:eastAsia="es-ES_tradnl"/>
        </w:rPr>
        <w:t>".</w:t>
      </w:r>
    </w:p>
    <w:p w14:paraId="33F00BDB" w14:textId="77777777" w:rsidR="003B3957" w:rsidRPr="00AB7B88" w:rsidRDefault="003B3957" w:rsidP="006B3AC2">
      <w:pPr>
        <w:pStyle w:val="Bodytext1"/>
        <w:numPr>
          <w:ilvl w:val="0"/>
          <w:numId w:val="41"/>
        </w:numPr>
        <w:shd w:val="clear" w:color="auto" w:fill="auto"/>
        <w:tabs>
          <w:tab w:val="left" w:pos="51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Tribunal observa que el TBI no dispone qué derecho deben aplicar los tribunales arbitrales establecidos al amparo del </w:t>
      </w:r>
      <w:r w:rsidRPr="00AB7B88">
        <w:rPr>
          <w:rStyle w:val="Bodytext31"/>
          <w:rFonts w:ascii="Times New Roman" w:hAnsi="Times New Roman"/>
          <w:color w:val="000000"/>
          <w:sz w:val="20"/>
          <w:lang w:val="es-AR" w:eastAsia="es-ES_tradnl"/>
        </w:rPr>
        <w:t>artículo 8 del TBI</w:t>
      </w:r>
      <w:r w:rsidRPr="00AB7B88">
        <w:rPr>
          <w:rStyle w:val="Bodytext52"/>
          <w:rFonts w:ascii="Times New Roman" w:hAnsi="Times New Roman"/>
          <w:color w:val="000000"/>
          <w:sz w:val="20"/>
          <w:lang w:val="es-AR" w:eastAsia="es-ES_tradnl"/>
        </w:rPr>
        <w:t>. El artículo 35.1 del Reglamento CNUDMI, aplicable a este procedimiento, estipula que "[e]l tribunal arbitral aplicará las normas de derecho que las partes hayan indicado como aplicables al fondo del litigio. Si las partes no indican las normas de derecho aplicables, el tribunal arbitral aplicará la ley que estime apropiada</w:t>
      </w:r>
      <w:r w:rsidR="00E3628F" w:rsidRPr="00AB7B88">
        <w:rPr>
          <w:rStyle w:val="FootnoteReference"/>
          <w:rFonts w:cs="Palatino Linotype"/>
          <w:color w:val="000000"/>
          <w:sz w:val="20"/>
          <w:szCs w:val="19"/>
          <w:lang w:val="es-AR" w:eastAsia="es-ES_tradnl"/>
        </w:rPr>
        <w:footnoteReference w:id="263"/>
      </w:r>
      <w:r w:rsidRPr="00AB7B88">
        <w:rPr>
          <w:rStyle w:val="Bodytext52"/>
          <w:rFonts w:ascii="Times New Roman" w:hAnsi="Times New Roman"/>
          <w:color w:val="000000"/>
          <w:sz w:val="20"/>
          <w:lang w:val="es-AR" w:eastAsia="es-ES_tradnl"/>
        </w:rPr>
        <w:t>".</w:t>
      </w:r>
    </w:p>
    <w:p w14:paraId="1B038DED" w14:textId="77777777" w:rsidR="003B3957" w:rsidRPr="00AB7B88" w:rsidRDefault="003B3957" w:rsidP="006B3AC2">
      <w:pPr>
        <w:pStyle w:val="Bodytext1"/>
        <w:numPr>
          <w:ilvl w:val="0"/>
          <w:numId w:val="41"/>
        </w:numPr>
        <w:shd w:val="clear" w:color="auto" w:fill="auto"/>
        <w:tabs>
          <w:tab w:val="left" w:pos="509"/>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A diferencia de las controversias en virtud del artículo 8, los tribunales arbitrales establecidos conforme al </w:t>
      </w:r>
      <w:r w:rsidRPr="00AB7B88">
        <w:rPr>
          <w:rStyle w:val="Bodytext31"/>
          <w:rFonts w:ascii="Times New Roman" w:hAnsi="Times New Roman"/>
          <w:color w:val="000000"/>
          <w:sz w:val="20"/>
          <w:lang w:val="es-AR" w:eastAsia="es-ES_tradnl"/>
        </w:rPr>
        <w:t>artículo 9.5 del TBI</w:t>
      </w:r>
      <w:r w:rsidRPr="00AB7B88">
        <w:rPr>
          <w:rStyle w:val="Bodytext26"/>
          <w:rFonts w:ascii="Times New Roman" w:hAnsi="Times New Roman"/>
          <w:color w:val="000000"/>
          <w:sz w:val="20"/>
          <w:lang w:val="es-AR" w:eastAsia="es-ES_tradnl"/>
        </w:rPr>
        <w:t xml:space="preserve"> </w:t>
      </w:r>
      <w:r w:rsidRPr="00AB7B88">
        <w:rPr>
          <w:rStyle w:val="Bodytext52"/>
          <w:rFonts w:ascii="Times New Roman" w:hAnsi="Times New Roman"/>
          <w:color w:val="000000"/>
          <w:sz w:val="20"/>
          <w:lang w:val="es-AR" w:eastAsia="es-ES_tradnl"/>
        </w:rPr>
        <w:t>para resolver controversias entre los Estados Partes del TBI "tomará[n] su decisión sobre la base de las disposiciones de este Convenio, y las normas de derecho internacional y el derecho interno del Estado en el cual se realizó la inversión que diera origen a la controversia cuando los considere aplicables". Si bien se ha estimado que esta diferencia entre los artículos 8 y 9 indica que solo se aplicaría el derecho internacional conforme al artículo 8, en opinión del Tribunal resultaría atípico que se aplicase derecho nacional a cuestiones planteadas al</w:t>
      </w:r>
      <w:r w:rsidRPr="00AB7B88">
        <w:rPr>
          <w:sz w:val="20"/>
          <w:lang w:val="es-AR"/>
        </w:rPr>
        <w:t xml:space="preserve"> </w:t>
      </w:r>
      <w:r w:rsidRPr="00AB7B88">
        <w:rPr>
          <w:rStyle w:val="Bodytext52"/>
          <w:rFonts w:ascii="Times New Roman" w:hAnsi="Times New Roman"/>
          <w:color w:val="000000"/>
          <w:sz w:val="20"/>
          <w:lang w:val="es-AR" w:eastAsia="es-ES_tradnl"/>
        </w:rPr>
        <w:t>nivel de los Estados Partes del TBI y que no resultase aplicable en absoluto en el caso de una controversia entre un inversor y un Estado. Esto también se encuentra en consonancia con la práctica de los tribunales arbitrales de aplicar el derecho interno a ciertas cuestiones independientemente de si el tratado de inversión en cuestión requería su aplicación.</w:t>
      </w:r>
    </w:p>
    <w:p w14:paraId="72688DDE" w14:textId="77777777" w:rsidR="003B3957" w:rsidRPr="00AB7B88" w:rsidRDefault="003B3957" w:rsidP="00B62CDB">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el caso </w:t>
      </w:r>
      <w:r w:rsidRPr="00AB7B88">
        <w:rPr>
          <w:rStyle w:val="Bodytext13125pt"/>
          <w:rFonts w:ascii="Times New Roman" w:hAnsi="Times New Roman"/>
          <w:b w:val="0"/>
          <w:bCs w:val="0"/>
          <w:smallCaps w:val="0"/>
          <w:color w:val="000000"/>
          <w:sz w:val="20"/>
          <w:lang w:val="es-AR" w:eastAsia="es-ES_tradnl"/>
        </w:rPr>
        <w:t>Venezuela Holdings</w:t>
      </w:r>
      <w:r w:rsidRPr="00AB7B88">
        <w:rPr>
          <w:rStyle w:val="Bodytext52"/>
          <w:rFonts w:ascii="Times New Roman" w:hAnsi="Times New Roman"/>
          <w:color w:val="000000"/>
          <w:sz w:val="20"/>
          <w:lang w:val="es-AR" w:eastAsia="es-ES_tradnl"/>
        </w:rPr>
        <w:t xml:space="preserve"> al que ha hecho alusión la Demandada, el comité de anulación se remite a las conclusiones del tribunal mediante un resumen de la postura de Venezuela en estos términos:</w:t>
      </w:r>
    </w:p>
    <w:p w14:paraId="30177682" w14:textId="77777777" w:rsidR="003B3957" w:rsidRPr="00AB7B88" w:rsidRDefault="003B3957" w:rsidP="008B5ED0">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Venezuela afirma lo siguiente: primero, que una inversión, por su propia naturaleza, constituye una propiedad, que la determinación de aquello de lo que está compuesta dicha propiedad es una precondición necesaria e ineludible de cualquier cálculo de su valor y, específicamente, de su 'valor del mercado’ en virtud </w:t>
      </w:r>
      <w:r w:rsidRPr="00AB7B88">
        <w:rPr>
          <w:rStyle w:val="Bodytext52"/>
          <w:rFonts w:ascii="Times New Roman" w:hAnsi="Times New Roman"/>
          <w:color w:val="000000"/>
          <w:sz w:val="20"/>
          <w:lang w:val="es-AR" w:eastAsia="es-ES_tradnl"/>
        </w:rPr>
        <w:lastRenderedPageBreak/>
        <w:t>del Artículo 6(c) del TBI, de modo que este es un paso previo esencial que el razonamiento del Tribunal omitió por completo; segundo, que la propiedad no es una cantidad que sea o pueda ser creada por el derecho internacional, y que el único rol del derecho internacional consiste en reconocer la propiedad creada y definida por el derecho nacional y, luego, derivar de ello las consecuencias que puedan surgir en el plano internacional, de manera que el Tribunal no trasladó el análisis adecuado al alcance de la expropiación en cuestión, ni al derecho aplicable a sus consecuencias por vía de compensación</w:t>
      </w:r>
      <w:r w:rsidRPr="00AB7B88">
        <w:rPr>
          <w:rStyle w:val="Bodytext52"/>
          <w:rFonts w:ascii="Times New Roman" w:hAnsi="Times New Roman"/>
          <w:color w:val="000000"/>
          <w:sz w:val="20"/>
          <w:vertAlign w:val="superscript"/>
          <w:lang w:eastAsia="es-ES_tradnl"/>
        </w:rPr>
        <w:footnoteReference w:id="264"/>
      </w:r>
      <w:r w:rsidRPr="00AB7B88">
        <w:rPr>
          <w:rStyle w:val="Bodytext52"/>
          <w:rFonts w:ascii="Times New Roman" w:hAnsi="Times New Roman"/>
          <w:color w:val="000000"/>
          <w:sz w:val="20"/>
          <w:lang w:val="es-AR" w:eastAsia="es-ES_tradnl"/>
        </w:rPr>
        <w:t>.</w:t>
      </w:r>
    </w:p>
    <w:p w14:paraId="0F2A329F" w14:textId="77777777" w:rsidR="003B3957" w:rsidRPr="00AB7B88" w:rsidRDefault="003B3957" w:rsidP="00B62CDB">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El comité de anulación coincidió en principio con la opinión de Venezuela</w:t>
      </w:r>
      <w:r w:rsidRPr="00AB7B88">
        <w:rPr>
          <w:rStyle w:val="Bodytext52"/>
          <w:rFonts w:ascii="Times New Roman" w:hAnsi="Times New Roman"/>
          <w:color w:val="000000"/>
          <w:sz w:val="20"/>
          <w:vertAlign w:val="superscript"/>
          <w:lang w:eastAsia="es-ES_tradnl"/>
        </w:rPr>
        <w:footnoteReference w:id="265"/>
      </w:r>
      <w:r w:rsidRPr="00AB7B88">
        <w:rPr>
          <w:rStyle w:val="Bodytext52"/>
          <w:rFonts w:ascii="Times New Roman" w:hAnsi="Times New Roman"/>
          <w:color w:val="000000"/>
          <w:sz w:val="20"/>
          <w:lang w:val="es-AR" w:eastAsia="es-ES_tradnl"/>
        </w:rPr>
        <w:t>.</w:t>
      </w:r>
    </w:p>
    <w:p w14:paraId="60E4A59F" w14:textId="77777777" w:rsidR="003B3957" w:rsidRPr="00AB7B88" w:rsidRDefault="003B3957" w:rsidP="00B62CDB">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De igual manera, el tribunal en el caso </w:t>
      </w:r>
      <w:r w:rsidRPr="00AB7B88">
        <w:rPr>
          <w:rStyle w:val="Bodytext13125pt"/>
          <w:rFonts w:ascii="Times New Roman" w:hAnsi="Times New Roman"/>
          <w:b w:val="0"/>
          <w:bCs w:val="0"/>
          <w:smallCaps w:val="0"/>
          <w:color w:val="000000"/>
          <w:sz w:val="20"/>
          <w:lang w:val="es-AR" w:eastAsia="es-ES_tradnl"/>
        </w:rPr>
        <w:t>Mezzanine Capital</w:t>
      </w:r>
      <w:r w:rsidRPr="00AB7B88">
        <w:rPr>
          <w:rStyle w:val="Bodytext52"/>
          <w:rFonts w:ascii="Times New Roman" w:hAnsi="Times New Roman"/>
          <w:color w:val="000000"/>
          <w:sz w:val="20"/>
          <w:lang w:val="es-AR" w:eastAsia="es-ES_tradnl"/>
        </w:rPr>
        <w:t xml:space="preserve"> analizó el derecho de la demandante a la radiodifusión bajo la óptica del derecho nacional:</w:t>
      </w:r>
    </w:p>
    <w:p w14:paraId="3EB2B6E1" w14:textId="77777777" w:rsidR="003B3957" w:rsidRPr="00AB7B88" w:rsidRDefault="003B3957" w:rsidP="00A35168">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La cuestión de si las Demandantes tenían algún derecho a transmitir en una frecuencia de radio en Hungría en el momento crítico en 2009 solo puede ser respondida en referencia al derecho de Hungría. Por ello, el primer y el segundo paso del razonamiento de las Demandantes, conforme se resume </w:t>
      </w:r>
      <w:r w:rsidRPr="00AB7B88">
        <w:rPr>
          <w:rStyle w:val="Bodytext13125pt"/>
          <w:rFonts w:ascii="Times New Roman" w:hAnsi="Times New Roman"/>
          <w:b w:val="0"/>
          <w:smallCaps w:val="0"/>
          <w:color w:val="000000"/>
          <w:sz w:val="20"/>
          <w:lang w:val="es-AR" w:eastAsia="es-ES_tradnl"/>
        </w:rPr>
        <w:t>supra,</w:t>
      </w:r>
      <w:r w:rsidRPr="00AB7B88">
        <w:rPr>
          <w:rStyle w:val="Bodytext52"/>
          <w:rFonts w:ascii="Times New Roman" w:hAnsi="Times New Roman"/>
          <w:color w:val="000000"/>
          <w:sz w:val="20"/>
          <w:lang w:val="es-AR" w:eastAsia="es-ES_tradnl"/>
        </w:rPr>
        <w:t xml:space="preserve"> deben ser evaluados a la luz del derecho húngaro. Tras determinar su existencia en el derecho húngaro, así como su naturaleza y alcance, corresponde considerar si dichos derechos son susceptibles de constituir una inversión protegida para los fines del artículo 1 del TBI y el artículo 25 del Convenio CIADI</w:t>
      </w:r>
      <w:r w:rsidRPr="00AB7B88">
        <w:rPr>
          <w:rStyle w:val="Bodytext52"/>
          <w:rFonts w:ascii="Times New Roman" w:hAnsi="Times New Roman"/>
          <w:color w:val="000000"/>
          <w:sz w:val="20"/>
          <w:vertAlign w:val="superscript"/>
          <w:lang w:eastAsia="es-ES_tradnl"/>
        </w:rPr>
        <w:footnoteReference w:id="266"/>
      </w:r>
      <w:r w:rsidRPr="00AB7B88">
        <w:rPr>
          <w:rStyle w:val="Bodytext52"/>
          <w:rFonts w:ascii="Times New Roman" w:hAnsi="Times New Roman"/>
          <w:color w:val="000000"/>
          <w:sz w:val="20"/>
          <w:lang w:val="es-AR" w:eastAsia="es-ES_tradnl"/>
        </w:rPr>
        <w:t>.</w:t>
      </w:r>
    </w:p>
    <w:p w14:paraId="691EA1B7" w14:textId="77777777" w:rsidR="003B3957" w:rsidRPr="00AB7B88" w:rsidRDefault="003B3957" w:rsidP="00B62CDB">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tribunal en el caso </w:t>
      </w:r>
      <w:r w:rsidRPr="00AB7B88">
        <w:rPr>
          <w:rStyle w:val="Bodytext13125pt"/>
          <w:rFonts w:ascii="Times New Roman" w:hAnsi="Times New Roman"/>
          <w:b w:val="0"/>
          <w:smallCaps w:val="0"/>
          <w:color w:val="000000"/>
          <w:sz w:val="20"/>
          <w:lang w:val="es-AR" w:eastAsia="es-ES_tradnl"/>
        </w:rPr>
        <w:t>Nagel</w:t>
      </w:r>
      <w:r w:rsidRPr="00AB7B88">
        <w:rPr>
          <w:rStyle w:val="Bodytext52"/>
          <w:rFonts w:ascii="Times New Roman" w:hAnsi="Times New Roman"/>
          <w:color w:val="000000"/>
          <w:sz w:val="20"/>
          <w:lang w:val="es-AR" w:eastAsia="es-ES_tradnl"/>
        </w:rPr>
        <w:t xml:space="preserve"> fundamentó su postura en el derecho interno para comprender los términos "inversión" y "bien":</w:t>
      </w:r>
    </w:p>
    <w:p w14:paraId="572ECA5D" w14:textId="77777777" w:rsidR="003B3957" w:rsidRPr="00AB7B88" w:rsidRDefault="003B3957" w:rsidP="00A35168">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el fundamento de las pretensiones del Sr. Nagel en este caso es el Tratado de Inversión y que este se debe interpretar de conformidad con las reglas del derecho internacional público. Sin embargo, el derecho interno de la República Checa tendrá cierta pertinencia, puesto que los términos "inversión" y "bien" en el artículo 1 del Tratado de Inversión no se pueden interpretar en forma independiente de los derechos que podrían existir en el marco del derecho checo. En consecuencia, es necesario determinar la importancia jurídica del Acuerdo de Cooperación conforme al derecho checo</w:t>
      </w:r>
      <w:r w:rsidRPr="00AB7B88">
        <w:rPr>
          <w:rStyle w:val="Bodytext52"/>
          <w:rFonts w:ascii="Times New Roman" w:hAnsi="Times New Roman"/>
          <w:color w:val="000000"/>
          <w:sz w:val="20"/>
          <w:vertAlign w:val="superscript"/>
          <w:lang w:eastAsia="es-ES_tradnl"/>
        </w:rPr>
        <w:footnoteReference w:id="267"/>
      </w:r>
      <w:r w:rsidRPr="00AB7B88">
        <w:rPr>
          <w:rStyle w:val="Bodytext52"/>
          <w:rFonts w:ascii="Times New Roman" w:hAnsi="Times New Roman"/>
          <w:color w:val="000000"/>
          <w:sz w:val="20"/>
          <w:lang w:val="es-AR" w:eastAsia="es-ES_tradnl"/>
        </w:rPr>
        <w:t>.</w:t>
      </w:r>
    </w:p>
    <w:p w14:paraId="3916264E" w14:textId="77777777" w:rsidR="003B3957" w:rsidRPr="00AB7B88" w:rsidRDefault="003B3957" w:rsidP="00B62CDB">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lastRenderedPageBreak/>
        <w:t>El mismo tribunal interpretó los términos "bien" e "inversión" como derechos y pretensiones que tienen un valor financiero para el titular. Esta interpretación "crea un vínculo con el derecho nacional, dado que, en gran medida, son las reglas del derecho nacional las que determinan la existencia o no de un valor financiero. En otras palabras, el valor no es una cualidad derivada de causas naturales sino el efecto de normas legales que crean derechos a los que confieren protección</w:t>
      </w:r>
      <w:r w:rsidRPr="00AB7B88">
        <w:rPr>
          <w:rStyle w:val="Bodytext52"/>
          <w:rFonts w:ascii="Times New Roman" w:hAnsi="Times New Roman"/>
          <w:color w:val="000000"/>
          <w:sz w:val="20"/>
          <w:vertAlign w:val="superscript"/>
          <w:lang w:eastAsia="es-ES_tradnl"/>
        </w:rPr>
        <w:footnoteReference w:id="268"/>
      </w:r>
      <w:r w:rsidRPr="00AB7B88">
        <w:rPr>
          <w:rStyle w:val="Bodytext52"/>
          <w:rFonts w:ascii="Times New Roman" w:hAnsi="Times New Roman"/>
          <w:color w:val="000000"/>
          <w:sz w:val="20"/>
          <w:lang w:val="es-AR" w:eastAsia="es-ES_tradnl"/>
        </w:rPr>
        <w:t>". A fin de determinar si el Sr. Nagel tenía un "bien" que constituía una "inversión" en virtud del artículo 1 del Tratado de Inversión, el tribunal procedió a "examinar qué derecho o pretensión, según corresponda, podría derivarse del Acuerdo de Cooperación</w:t>
      </w:r>
      <w:r w:rsidRPr="00AB7B88">
        <w:rPr>
          <w:rStyle w:val="Bodytext52"/>
          <w:rFonts w:ascii="Times New Roman" w:hAnsi="Times New Roman"/>
          <w:color w:val="000000"/>
          <w:sz w:val="20"/>
          <w:vertAlign w:val="superscript"/>
          <w:lang w:eastAsia="es-ES_tradnl"/>
        </w:rPr>
        <w:footnoteReference w:id="269"/>
      </w:r>
      <w:r w:rsidRPr="00AB7B88">
        <w:rPr>
          <w:rStyle w:val="Bodytext52"/>
          <w:rFonts w:ascii="Times New Roman" w:hAnsi="Times New Roman"/>
          <w:color w:val="000000"/>
          <w:sz w:val="20"/>
          <w:lang w:val="es-AR" w:eastAsia="es-ES_tradnl"/>
        </w:rPr>
        <w:t>".</w:t>
      </w:r>
    </w:p>
    <w:p w14:paraId="21C853FB" w14:textId="77777777" w:rsidR="003B3957" w:rsidRPr="00AB7B88" w:rsidRDefault="003B3957" w:rsidP="00B62CDB">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La doctrina co</w:t>
      </w:r>
      <w:r w:rsidRPr="00AB7B88">
        <w:rPr>
          <w:rStyle w:val="Bodytext41"/>
          <w:rFonts w:ascii="Times New Roman" w:hAnsi="Times New Roman"/>
          <w:color w:val="000000"/>
          <w:sz w:val="20"/>
          <w:lang w:val="es-AR" w:eastAsia="es-ES_tradnl"/>
        </w:rPr>
        <w:t>nfir</w:t>
      </w:r>
      <w:r w:rsidRPr="00AB7B88">
        <w:rPr>
          <w:rStyle w:val="Bodytext52"/>
          <w:rFonts w:ascii="Times New Roman" w:hAnsi="Times New Roman"/>
          <w:color w:val="000000"/>
          <w:sz w:val="20"/>
          <w:lang w:val="es-AR" w:eastAsia="es-ES_tradnl"/>
        </w:rPr>
        <w:t>ma la función del derecho interno dependiendo de la cuestión a determinar. Así, tras un análisis del reglamento de arbitraje y de varios casos, dos tratadistas prominentes concluyen:</w:t>
      </w:r>
    </w:p>
    <w:p w14:paraId="1D4A8F44" w14:textId="77777777" w:rsidR="003B3957" w:rsidRPr="00AB7B88" w:rsidRDefault="003B3957" w:rsidP="008447DA">
      <w:pPr>
        <w:pStyle w:val="Bodytext1"/>
        <w:shd w:val="clear" w:color="auto" w:fill="auto"/>
        <w:spacing w:before="0" w:line="360" w:lineRule="auto"/>
        <w:ind w:left="522" w:firstLine="0"/>
        <w:jc w:val="both"/>
        <w:rPr>
          <w:sz w:val="20"/>
          <w:lang w:val="es-AR"/>
        </w:rPr>
      </w:pPr>
      <w:r w:rsidRPr="00AB7B88">
        <w:rPr>
          <w:rStyle w:val="Bodytext52"/>
          <w:rFonts w:ascii="Times New Roman" w:hAnsi="Times New Roman"/>
          <w:color w:val="000000"/>
          <w:sz w:val="20"/>
          <w:lang w:val="es-AR" w:eastAsia="es-ES_tradnl"/>
        </w:rPr>
        <w:t>En consecuencia, en la mayoría de los casos el derecho sustantivo aplicable en el arbitraje de inversión combina el derecho internacional y el derecho del Estado anfitrión. Esto es así independientemente de si las partes han escogido un derecho que combina el derecho internacional con el derecho del Estado anfitrión. En la mayoría de los casos los tribunales, de hecho, han aplicado ambos sistemas de derecho. En casos de contradicción entre ambos, el derecho internacional tenía que prevalecer. Compete a los tribunales identificar las diversas cuestiones a las que se debe aplicar el derecho internacional o el derecho del Estado anfitrión</w:t>
      </w:r>
      <w:r w:rsidRPr="00AB7B88">
        <w:rPr>
          <w:rStyle w:val="Bodytext52"/>
          <w:rFonts w:ascii="Times New Roman" w:hAnsi="Times New Roman"/>
          <w:color w:val="000000"/>
          <w:sz w:val="20"/>
          <w:vertAlign w:val="superscript"/>
          <w:lang w:eastAsia="es-ES_tradnl"/>
        </w:rPr>
        <w:footnoteReference w:id="270"/>
      </w:r>
      <w:r w:rsidRPr="00AB7B88">
        <w:rPr>
          <w:rStyle w:val="Bodytext52"/>
          <w:rFonts w:ascii="Times New Roman" w:hAnsi="Times New Roman"/>
          <w:color w:val="000000"/>
          <w:sz w:val="20"/>
          <w:lang w:val="es-AR" w:eastAsia="es-ES_tradnl"/>
        </w:rPr>
        <w:t>.</w:t>
      </w:r>
    </w:p>
    <w:p w14:paraId="5066D754" w14:textId="77777777" w:rsidR="003B3957" w:rsidRPr="00AB7B88" w:rsidRDefault="003B3957" w:rsidP="00B62CDB">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No resulta controvertido que el derecho internacional resulta de aplicación a la interpretación del TBI. Ambos peritos en derecho internacional de las Partes coinciden en que el derecho interno, de hecho, es útil en cuestiones de titularidad de propiedad</w:t>
      </w:r>
      <w:r w:rsidRPr="00AB7B88">
        <w:rPr>
          <w:rStyle w:val="Bodytext52"/>
          <w:rFonts w:ascii="Times New Roman" w:hAnsi="Times New Roman"/>
          <w:color w:val="000000"/>
          <w:sz w:val="20"/>
          <w:vertAlign w:val="superscript"/>
          <w:lang w:eastAsia="es-ES_tradnl"/>
        </w:rPr>
        <w:footnoteReference w:id="271"/>
      </w:r>
      <w:r w:rsidRPr="00AB7B88">
        <w:rPr>
          <w:rStyle w:val="Bodytext52"/>
          <w:rFonts w:ascii="Times New Roman" w:hAnsi="Times New Roman"/>
          <w:color w:val="000000"/>
          <w:sz w:val="20"/>
          <w:lang w:val="es-AR" w:eastAsia="es-ES_tradnl"/>
        </w:rPr>
        <w:t xml:space="preserve">. En opinión del Tribunal, el derecho internacional rige la </w:t>
      </w:r>
      <w:r w:rsidRPr="00AB7B88">
        <w:rPr>
          <w:rStyle w:val="Bodytext52"/>
          <w:rFonts w:ascii="Times New Roman" w:hAnsi="Times New Roman"/>
          <w:color w:val="000000"/>
          <w:sz w:val="20"/>
          <w:lang w:val="es-AR" w:eastAsia="es-ES_tradnl"/>
        </w:rPr>
        <w:lastRenderedPageBreak/>
        <w:t xml:space="preserve">interpretación del TBI y, a su vez, el derecho de las Islas Caimán define la naturaleza y el contenido de los intereses en un </w:t>
      </w:r>
      <w:r w:rsidRPr="00AB7B88">
        <w:rPr>
          <w:rStyle w:val="Bodytext13125pt"/>
          <w:rFonts w:ascii="Times New Roman" w:hAnsi="Times New Roman"/>
          <w:b w:val="0"/>
          <w:bCs w:val="0"/>
          <w:smallCaps w:val="0"/>
          <w:color w:val="000000"/>
          <w:sz w:val="20"/>
          <w:lang w:val="es-AR" w:eastAsia="es-ES_tradnl"/>
        </w:rPr>
        <w:t>discretionary trust</w:t>
      </w:r>
      <w:r w:rsidRPr="00AB7B88">
        <w:rPr>
          <w:rStyle w:val="Bodytext52"/>
          <w:rFonts w:ascii="Times New Roman" w:hAnsi="Times New Roman"/>
          <w:color w:val="000000"/>
          <w:sz w:val="20"/>
          <w:lang w:val="es-AR" w:eastAsia="es-ES_tradnl"/>
        </w:rPr>
        <w:t xml:space="preserve"> de los Demandantes que se encuentran bajo examen. La cuestión de si la naturaleza y el contenido de esos intereses constituyen un bien en virtud del TBI está regida por el derecho internacional.</w:t>
      </w:r>
    </w:p>
    <w:p w14:paraId="145F9121" w14:textId="77777777" w:rsidR="003B3957" w:rsidRPr="00AB7B88" w:rsidRDefault="003B3957" w:rsidP="00071855">
      <w:pPr>
        <w:pStyle w:val="Heading20"/>
        <w:keepNext/>
        <w:keepLines/>
        <w:numPr>
          <w:ilvl w:val="0"/>
          <w:numId w:val="47"/>
        </w:numPr>
        <w:shd w:val="clear" w:color="auto" w:fill="auto"/>
        <w:tabs>
          <w:tab w:val="left" w:pos="340"/>
        </w:tabs>
        <w:spacing w:before="380" w:after="0" w:line="360" w:lineRule="auto"/>
        <w:ind w:firstLine="0"/>
        <w:rPr>
          <w:rFonts w:ascii="Times New Roman" w:hAnsi="Times New Roman"/>
          <w:sz w:val="20"/>
          <w:lang w:val="es-AR"/>
        </w:rPr>
      </w:pPr>
      <w:bookmarkStart w:id="90" w:name="bookmark91"/>
      <w:bookmarkStart w:id="91" w:name="bookmark92"/>
      <w:r w:rsidRPr="00AB7B88">
        <w:rPr>
          <w:rStyle w:val="Heading2"/>
          <w:rFonts w:ascii="Times New Roman" w:hAnsi="Times New Roman"/>
          <w:color w:val="000000"/>
          <w:sz w:val="20"/>
          <w:lang w:val="es-AR" w:eastAsia="es-ES_tradnl"/>
        </w:rPr>
        <w:t>Interpretación del artículo 1 a) del TBI</w:t>
      </w:r>
      <w:bookmarkEnd w:id="90"/>
      <w:bookmarkEnd w:id="91"/>
    </w:p>
    <w:p w14:paraId="314F49C6" w14:textId="77777777" w:rsidR="003B3957" w:rsidRPr="00AB7B88" w:rsidRDefault="003B3957" w:rsidP="00B62CDB">
      <w:pPr>
        <w:pStyle w:val="Bodytext1"/>
        <w:numPr>
          <w:ilvl w:val="0"/>
          <w:numId w:val="41"/>
        </w:numPr>
        <w:shd w:val="clear" w:color="auto" w:fill="auto"/>
        <w:tabs>
          <w:tab w:val="left" w:pos="749"/>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Al interpretar el TBI, el Tribunal empleará como guía el </w:t>
      </w:r>
      <w:r w:rsidRPr="00AB7B88">
        <w:rPr>
          <w:rStyle w:val="Bodytext31"/>
          <w:rFonts w:ascii="Times New Roman" w:hAnsi="Times New Roman"/>
          <w:color w:val="000000"/>
          <w:sz w:val="20"/>
          <w:lang w:val="es-AR" w:eastAsia="es-ES_tradnl"/>
        </w:rPr>
        <w:t>artículo 31.1 de la Convención de Viena</w:t>
      </w:r>
      <w:r w:rsidRPr="00AB7B88">
        <w:rPr>
          <w:rStyle w:val="Bodytext41"/>
          <w:rFonts w:ascii="Times New Roman" w:hAnsi="Times New Roman"/>
          <w:color w:val="000000"/>
          <w:sz w:val="20"/>
          <w:lang w:val="es-AR" w:eastAsia="es-ES_tradnl"/>
        </w:rPr>
        <w:t>,</w:t>
      </w:r>
      <w:r w:rsidRPr="00AB7B88">
        <w:rPr>
          <w:rStyle w:val="Bodytext52"/>
          <w:rFonts w:ascii="Times New Roman" w:hAnsi="Times New Roman"/>
          <w:color w:val="000000"/>
          <w:sz w:val="20"/>
          <w:lang w:val="es-AR" w:eastAsia="es-ES_tradnl"/>
        </w:rPr>
        <w:t xml:space="preserve"> el cual establece que el Tribunal deberá interpretar el TBI "de buena fe conforme al sentido comente que haya de atribuirse a los términos del tratado en el contexto de estos y teniendo en cuenta su objeto y fin".</w:t>
      </w:r>
    </w:p>
    <w:p w14:paraId="49CDFFE7" w14:textId="77777777" w:rsidR="003B3957" w:rsidRPr="00AB7B88" w:rsidRDefault="003B3957" w:rsidP="00B62CDB">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w:t>
      </w:r>
      <w:r w:rsidRPr="00AB7B88">
        <w:rPr>
          <w:rStyle w:val="Bodytext31"/>
          <w:rFonts w:ascii="Times New Roman" w:hAnsi="Times New Roman"/>
          <w:color w:val="000000"/>
          <w:sz w:val="20"/>
          <w:lang w:val="es-AR" w:eastAsia="es-ES_tradnl"/>
        </w:rPr>
        <w:t>artículo 1 a), del TBI</w:t>
      </w:r>
      <w:r w:rsidRPr="00AB7B88">
        <w:rPr>
          <w:rStyle w:val="Bodytext26"/>
          <w:rFonts w:ascii="Times New Roman" w:hAnsi="Times New Roman"/>
          <w:color w:val="000000"/>
          <w:sz w:val="20"/>
          <w:lang w:val="es-AR" w:eastAsia="es-ES_tradnl"/>
        </w:rPr>
        <w:t xml:space="preserve"> </w:t>
      </w:r>
      <w:r w:rsidRPr="00AB7B88">
        <w:rPr>
          <w:rStyle w:val="Bodytext52"/>
          <w:rFonts w:ascii="Times New Roman" w:hAnsi="Times New Roman"/>
          <w:color w:val="000000"/>
          <w:sz w:val="20"/>
          <w:lang w:val="es-AR" w:eastAsia="es-ES_tradnl"/>
        </w:rPr>
        <w:t>define inversión como "toda clase de bienes". En su sentido corriente, el término "bien" es "algo valioso que pertenece a una persona u organización que se puede usar para el pago de deudas</w:t>
      </w:r>
      <w:r w:rsidRPr="00AB7B88">
        <w:rPr>
          <w:rStyle w:val="Bodytext52"/>
          <w:rFonts w:ascii="Times New Roman" w:hAnsi="Times New Roman"/>
          <w:color w:val="000000"/>
          <w:sz w:val="20"/>
          <w:vertAlign w:val="superscript"/>
          <w:lang w:eastAsia="es-ES_tradnl"/>
        </w:rPr>
        <w:footnoteReference w:id="272"/>
      </w:r>
      <w:r w:rsidRPr="00AB7B88">
        <w:rPr>
          <w:rStyle w:val="Bodytext52"/>
          <w:rFonts w:ascii="Times New Roman" w:hAnsi="Times New Roman"/>
          <w:color w:val="000000"/>
          <w:sz w:val="20"/>
          <w:lang w:val="es-AR" w:eastAsia="es-ES_tradnl"/>
        </w:rPr>
        <w:t>". Más concretamente, en el campo de las finanzas o de la contabilidad un bien es definido como "algo que es propiedad de una persona, empresa u organización, como dinero, propiedad o tierra</w:t>
      </w:r>
      <w:r w:rsidRPr="00AB7B88">
        <w:rPr>
          <w:rStyle w:val="Bodytext52"/>
          <w:rFonts w:ascii="Times New Roman" w:hAnsi="Times New Roman"/>
          <w:color w:val="000000"/>
          <w:sz w:val="20"/>
          <w:vertAlign w:val="superscript"/>
          <w:lang w:eastAsia="es-ES_tradnl"/>
        </w:rPr>
        <w:footnoteReference w:id="273"/>
      </w:r>
      <w:r w:rsidRPr="00AB7B88">
        <w:rPr>
          <w:rStyle w:val="Bodytext52"/>
          <w:rFonts w:ascii="Times New Roman" w:hAnsi="Times New Roman"/>
          <w:color w:val="000000"/>
          <w:sz w:val="20"/>
          <w:lang w:val="es-AR" w:eastAsia="es-ES_tradnl"/>
        </w:rPr>
        <w:t>". Después de esta afirmación general, en la cláusula se añade una lista abierta de los elementos que las partes consideraron inversiones "en particular". La definición abierta de bienes se refleja en cada categoría de ejemplo con expresiones "como hipotecas, gravámenes y derechos de prenda", "otras formas de participación en una empresa’, "o prestaciones contractuales, concesiones de tipo comercial [...] incluidas [...]" De igual manera, la forma de inversión de los bienes no afecta su carácter de inversión. La definición de "rentas" es igualmente abierta, "en particular" comprende ciertos elementos, pero no en forma exclusiva. En resumen, los redactores se cercioraron de establecer la definición de "bienes" en términos amplios.</w:t>
      </w:r>
    </w:p>
    <w:p w14:paraId="7EDF2BFD" w14:textId="77777777" w:rsidR="003B3957" w:rsidRPr="00AB7B88" w:rsidRDefault="003B3957" w:rsidP="00B62CDB">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La lista de bienes incluidos específicamente en el artículo 1 a) brinda orientación sobre lo que las partes consideraron que el término "inversión" incluía. En primer lugar, en la lista se hace referencia a derechos de propiedad, seguidos por "formas de participación en los bienes de dichas sociedades", después a derechos a fondos o prestaciones contractuales que tengan un valor financiero, seguidos por derechos de propiedad intelectual y concesiones de tipo comercial. El denominador común es que un bien comprende derechos a una cosa que tiene valor financiero.</w:t>
      </w:r>
    </w:p>
    <w:p w14:paraId="52A77867" w14:textId="77777777" w:rsidR="003B3957" w:rsidRPr="00AB7B88" w:rsidRDefault="003B3957" w:rsidP="008447DA">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Las Partes han hecho alusión a que el TBI no hace referencia a inversores sino a nacionales y a sociedades del otro Estado parte. Asimismo, se ha señalado que no existe un vínculo entre el inversor y la inversión en el sentido de que se imponga como requisito que la inversión sea propiedad de un inversor o esté controlada por </w:t>
      </w:r>
      <w:r w:rsidRPr="00AB7B88">
        <w:rPr>
          <w:rStyle w:val="Bodytext52"/>
          <w:rFonts w:ascii="Times New Roman" w:hAnsi="Times New Roman"/>
          <w:color w:val="000000"/>
          <w:sz w:val="20"/>
          <w:lang w:val="es-AR" w:eastAsia="es-ES_tradnl"/>
        </w:rPr>
        <w:lastRenderedPageBreak/>
        <w:t>este. El Tribunal no confiere importancia a si se utiliza la palabra inversor o nacional a los efectos de interpretar las disposiciones pertinentes del</w:t>
      </w:r>
      <w:r w:rsidR="008447DA" w:rsidRPr="00AB7B88">
        <w:rPr>
          <w:sz w:val="20"/>
          <w:lang w:val="es-AR"/>
        </w:rPr>
        <w:t xml:space="preserve"> </w:t>
      </w:r>
      <w:r w:rsidRPr="00AB7B88">
        <w:rPr>
          <w:rStyle w:val="Bodytext52"/>
          <w:rFonts w:ascii="Times New Roman" w:hAnsi="Times New Roman"/>
          <w:color w:val="000000"/>
          <w:sz w:val="20"/>
          <w:lang w:val="es-AR" w:eastAsia="es-ES_tradnl"/>
        </w:rPr>
        <w:t>TBI. Cuando el texto del TBI hace referencia a nacionales o sociedades que poseen acciones, es obvio que estos nacionales o sociedades son los inversores.</w:t>
      </w:r>
    </w:p>
    <w:p w14:paraId="7DC2EC0B" w14:textId="77777777" w:rsidR="003B3957" w:rsidRPr="00AB7B88" w:rsidRDefault="003B3957" w:rsidP="00B62CDB">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la versión en inglés del </w:t>
      </w:r>
      <w:r w:rsidRPr="00AB7B88">
        <w:rPr>
          <w:rStyle w:val="Bodytext31"/>
          <w:rFonts w:ascii="Times New Roman" w:hAnsi="Times New Roman"/>
          <w:color w:val="000000"/>
          <w:sz w:val="20"/>
          <w:lang w:val="es-AR" w:eastAsia="es-ES_tradnl"/>
        </w:rPr>
        <w:t>artículo 2.2</w:t>
      </w:r>
      <w:r w:rsidRPr="00AB7B88">
        <w:rPr>
          <w:rStyle w:val="Bodytext41"/>
          <w:rFonts w:ascii="Times New Roman" w:hAnsi="Times New Roman"/>
          <w:color w:val="000000"/>
          <w:sz w:val="20"/>
          <w:lang w:val="es-AR" w:eastAsia="es-ES_tradnl"/>
        </w:rPr>
        <w:t>,</w:t>
      </w:r>
      <w:r w:rsidRPr="00AB7B88">
        <w:rPr>
          <w:rStyle w:val="Bodytext52"/>
          <w:rFonts w:ascii="Times New Roman" w:hAnsi="Times New Roman"/>
          <w:color w:val="000000"/>
          <w:sz w:val="20"/>
          <w:lang w:val="es-AR" w:eastAsia="es-ES_tradnl"/>
        </w:rPr>
        <w:t xml:space="preserve"> el TBI vincula a "nacionales" o "sociedades" con los términos "para" y "de" </w:t>
      </w:r>
      <w:r w:rsidRPr="00AB7B88">
        <w:rPr>
          <w:rStyle w:val="Bodytext13125pt"/>
          <w:rFonts w:ascii="Times New Roman" w:hAnsi="Times New Roman"/>
          <w:b w:val="0"/>
          <w:bCs w:val="0"/>
          <w:smallCaps w:val="0"/>
          <w:color w:val="000000"/>
          <w:sz w:val="20"/>
          <w:lang w:val="es-AR" w:eastAsia="es-ES_tradnl"/>
        </w:rPr>
        <w:t>(for y of</w:t>
      </w:r>
      <w:r w:rsidRPr="00AB7B88">
        <w:rPr>
          <w:rStyle w:val="Bodytext52"/>
          <w:rFonts w:ascii="Times New Roman" w:hAnsi="Times New Roman"/>
          <w:b/>
          <w:bCs/>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en inglés): </w:t>
      </w:r>
      <w:r w:rsidRPr="00AB7B88">
        <w:rPr>
          <w:rStyle w:val="Bodytext13125pt"/>
          <w:rFonts w:ascii="Times New Roman" w:hAnsi="Times New Roman"/>
          <w:b w:val="0"/>
          <w:bCs w:val="0"/>
          <w:smallCaps w:val="0"/>
          <w:color w:val="000000"/>
          <w:sz w:val="20"/>
          <w:lang w:val="es-AR" w:eastAsia="es-ES_tradnl"/>
        </w:rPr>
        <w:t>"</w:t>
      </w:r>
      <w:r w:rsidRPr="00AB7B88">
        <w:rPr>
          <w:rStyle w:val="Bodytext13125pt"/>
          <w:rFonts w:ascii="Times New Roman" w:hAnsi="Times New Roman"/>
          <w:b w:val="0"/>
          <w:bCs w:val="0"/>
          <w:i w:val="0"/>
          <w:smallCaps w:val="0"/>
          <w:color w:val="000000"/>
          <w:sz w:val="20"/>
          <w:lang w:val="es-AR" w:eastAsia="es-ES_tradnl"/>
        </w:rPr>
        <w:t>[</w:t>
      </w:r>
      <w:r w:rsidRPr="00AB7B88">
        <w:rPr>
          <w:rStyle w:val="Bodytext13125pt"/>
          <w:rFonts w:ascii="Times New Roman" w:hAnsi="Times New Roman"/>
          <w:b w:val="0"/>
          <w:bCs w:val="0"/>
          <w:smallCaps w:val="0"/>
          <w:color w:val="000000"/>
          <w:sz w:val="20"/>
          <w:lang w:val="es-AR" w:eastAsia="es-ES_tradnl"/>
        </w:rPr>
        <w:t>ünvestments fornationals or companies" y "investments in its territory of</w:t>
      </w:r>
      <w:r w:rsidRPr="00AB7B88">
        <w:rPr>
          <w:rStyle w:val="Bodytext13125pt"/>
          <w:rFonts w:ascii="Times New Roman" w:hAnsi="Times New Roman"/>
          <w:b w:val="0"/>
          <w:smallCaps w:val="0"/>
          <w:color w:val="000000"/>
          <w:sz w:val="20"/>
          <w:lang w:val="es-AR" w:eastAsia="es-ES_tradnl"/>
        </w:rPr>
        <w:t xml:space="preserve"> </w:t>
      </w:r>
      <w:r w:rsidRPr="00AB7B88">
        <w:rPr>
          <w:rStyle w:val="Bodytext13125pt"/>
          <w:rFonts w:ascii="Times New Roman" w:hAnsi="Times New Roman"/>
          <w:b w:val="0"/>
          <w:bCs w:val="0"/>
          <w:smallCaps w:val="0"/>
          <w:color w:val="000000"/>
          <w:sz w:val="20"/>
          <w:lang w:val="es-AR" w:eastAsia="es-ES_tradnl"/>
        </w:rPr>
        <w:t>nationals or companies</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En la versión en español del </w:t>
      </w:r>
      <w:r w:rsidRPr="00AB7B88">
        <w:rPr>
          <w:rStyle w:val="Bodytext31"/>
          <w:rFonts w:ascii="Times New Roman" w:hAnsi="Times New Roman"/>
          <w:color w:val="000000"/>
          <w:sz w:val="20"/>
          <w:lang w:val="es-AR" w:eastAsia="es-ES_tradnl"/>
        </w:rPr>
        <w:t>artículo 2.2</w:t>
      </w:r>
      <w:r w:rsidRPr="00AB7B88">
        <w:rPr>
          <w:rStyle w:val="Bodytext41"/>
          <w:rFonts w:ascii="Times New Roman" w:hAnsi="Times New Roman"/>
          <w:color w:val="000000"/>
          <w:sz w:val="20"/>
          <w:lang w:val="es-AR" w:eastAsia="es-ES_tradnl"/>
        </w:rPr>
        <w:t>,</w:t>
      </w:r>
      <w:r w:rsidRPr="00AB7B88">
        <w:rPr>
          <w:rStyle w:val="Bodytext52"/>
          <w:rFonts w:ascii="Times New Roman" w:hAnsi="Times New Roman"/>
          <w:color w:val="000000"/>
          <w:sz w:val="20"/>
          <w:lang w:val="es-AR" w:eastAsia="es-ES_tradnl"/>
        </w:rPr>
        <w:t xml:space="preserve"> el término </w:t>
      </w:r>
      <w:r w:rsidRPr="00AB7B88">
        <w:rPr>
          <w:rStyle w:val="Bodytext13125pt"/>
          <w:rFonts w:ascii="Times New Roman" w:hAnsi="Times New Roman"/>
          <w:b w:val="0"/>
          <w:bCs w:val="0"/>
          <w:smallCaps w:val="0"/>
          <w:color w:val="000000"/>
          <w:sz w:val="20"/>
          <w:lang w:val="es-AR" w:eastAsia="es-ES_tradnl"/>
        </w:rPr>
        <w:t>"de"</w:t>
      </w:r>
      <w:r w:rsidRPr="00AB7B88">
        <w:rPr>
          <w:rStyle w:val="Bodytext52"/>
          <w:rFonts w:ascii="Times New Roman" w:hAnsi="Times New Roman"/>
          <w:color w:val="000000"/>
          <w:sz w:val="20"/>
          <w:lang w:val="es-AR" w:eastAsia="es-ES_tradnl"/>
        </w:rPr>
        <w:t xml:space="preserve"> se emplea como equivalente tanto para </w:t>
      </w:r>
      <w:r w:rsidRPr="00AB7B88">
        <w:rPr>
          <w:rStyle w:val="Bodytext13125pt"/>
          <w:rFonts w:ascii="Times New Roman" w:hAnsi="Times New Roman"/>
          <w:b w:val="0"/>
          <w:bCs w:val="0"/>
          <w:smallCaps w:val="0"/>
          <w:color w:val="000000"/>
          <w:sz w:val="20"/>
          <w:lang w:val="es-AR" w:eastAsia="es-ES_tradnl"/>
        </w:rPr>
        <w:t>"for"</w:t>
      </w:r>
      <w:r w:rsidRPr="00AB7B88">
        <w:rPr>
          <w:rStyle w:val="Bodytext52"/>
          <w:rFonts w:ascii="Times New Roman" w:hAnsi="Times New Roman"/>
          <w:color w:val="000000"/>
          <w:sz w:val="20"/>
          <w:lang w:val="es-AR" w:eastAsia="es-ES_tradnl"/>
        </w:rPr>
        <w:t xml:space="preserve"> como de </w:t>
      </w:r>
      <w:r w:rsidRPr="00AB7B88">
        <w:rPr>
          <w:rStyle w:val="Bodytext13125pt"/>
          <w:rFonts w:ascii="Times New Roman" w:hAnsi="Times New Roman"/>
          <w:b w:val="0"/>
          <w:bCs w:val="0"/>
          <w:smallCaps w:val="0"/>
          <w:color w:val="000000"/>
          <w:sz w:val="20"/>
          <w:lang w:val="es-AR" w:eastAsia="es-ES_tradnl"/>
        </w:rPr>
        <w:t>"of",</w:t>
      </w:r>
      <w:r w:rsidRPr="00AB7B88">
        <w:rPr>
          <w:rStyle w:val="Bodytext52"/>
          <w:rFonts w:ascii="Times New Roman" w:hAnsi="Times New Roman"/>
          <w:color w:val="000000"/>
          <w:sz w:val="20"/>
          <w:lang w:val="es-AR" w:eastAsia="es-ES_tradnl"/>
        </w:rPr>
        <w:t xml:space="preserve"> lo cual indica que no se tuvo la intención de que </w:t>
      </w:r>
      <w:r w:rsidRPr="00AB7B88">
        <w:rPr>
          <w:rStyle w:val="Bodytext13125pt"/>
          <w:rFonts w:ascii="Times New Roman" w:hAnsi="Times New Roman"/>
          <w:b w:val="0"/>
          <w:bCs w:val="0"/>
          <w:smallCaps w:val="0"/>
          <w:color w:val="000000"/>
          <w:sz w:val="20"/>
          <w:lang w:val="es-AR" w:eastAsia="es-ES_tradnl"/>
        </w:rPr>
        <w:t>"for"</w:t>
      </w:r>
      <w:r w:rsidRPr="00AB7B88">
        <w:rPr>
          <w:rStyle w:val="Bodytext52"/>
          <w:rFonts w:ascii="Times New Roman" w:hAnsi="Times New Roman"/>
          <w:color w:val="000000"/>
          <w:sz w:val="20"/>
          <w:lang w:val="es-AR" w:eastAsia="es-ES_tradnl"/>
        </w:rPr>
        <w:t xml:space="preserve"> tuviera un significado diferente a </w:t>
      </w:r>
      <w:r w:rsidRPr="00AB7B88">
        <w:rPr>
          <w:rStyle w:val="Bodytext13125pt"/>
          <w:rFonts w:ascii="Times New Roman" w:hAnsi="Times New Roman"/>
          <w:b w:val="0"/>
          <w:smallCaps w:val="0"/>
          <w:color w:val="000000"/>
          <w:sz w:val="20"/>
          <w:lang w:val="es-AR" w:eastAsia="es-ES_tradnl"/>
        </w:rPr>
        <w:t>"</w:t>
      </w:r>
      <w:r w:rsidRPr="00AB7B88">
        <w:rPr>
          <w:rStyle w:val="Bodytext13125pt"/>
          <w:rFonts w:ascii="Times New Roman" w:hAnsi="Times New Roman"/>
          <w:b w:val="0"/>
          <w:bCs w:val="0"/>
          <w:smallCaps w:val="0"/>
          <w:color w:val="000000"/>
          <w:sz w:val="20"/>
          <w:lang w:val="es-AR" w:eastAsia="es-ES_tradnl"/>
        </w:rPr>
        <w:t>of"</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Según se explica en el diccionario Merriam Webster, el término </w:t>
      </w:r>
      <w:r w:rsidRPr="00AB7B88">
        <w:rPr>
          <w:rStyle w:val="Bodytext13125pt"/>
          <w:rFonts w:ascii="Times New Roman" w:hAnsi="Times New Roman"/>
          <w:b w:val="0"/>
          <w:smallCaps w:val="0"/>
          <w:color w:val="000000"/>
          <w:sz w:val="20"/>
          <w:lang w:val="es-AR" w:eastAsia="es-ES_tradnl"/>
        </w:rPr>
        <w:t>"</w:t>
      </w:r>
      <w:r w:rsidRPr="00AB7B88">
        <w:rPr>
          <w:rStyle w:val="Bodytext13125pt"/>
          <w:rFonts w:ascii="Times New Roman" w:hAnsi="Times New Roman"/>
          <w:b w:val="0"/>
          <w:bCs w:val="0"/>
          <w:smallCaps w:val="0"/>
          <w:color w:val="000000"/>
          <w:sz w:val="20"/>
          <w:lang w:val="es-AR" w:eastAsia="es-ES_tradnl"/>
        </w:rPr>
        <w:t>of</w:t>
      </w:r>
      <w:r w:rsidR="00B1541C" w:rsidRPr="00AB7B88">
        <w:rPr>
          <w:rStyle w:val="Bodytext13125pt"/>
          <w:rFonts w:ascii="Times New Roman" w:hAnsi="Times New Roman"/>
          <w:b w:val="0"/>
          <w:bCs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(de) se "utiliza como una palabra funcional para indicar pertenencia o una relación de posesión</w:t>
      </w:r>
      <w:r w:rsidRPr="00AB7B88">
        <w:rPr>
          <w:rStyle w:val="Bodytext52"/>
          <w:rFonts w:ascii="Times New Roman" w:hAnsi="Times New Roman"/>
          <w:color w:val="000000"/>
          <w:sz w:val="20"/>
          <w:vertAlign w:val="superscript"/>
          <w:lang w:eastAsia="es-ES_tradnl"/>
        </w:rPr>
        <w:footnoteReference w:id="274"/>
      </w:r>
      <w:r w:rsidRPr="00AB7B88">
        <w:rPr>
          <w:rStyle w:val="Bodytext52"/>
          <w:rFonts w:ascii="Times New Roman" w:hAnsi="Times New Roman"/>
          <w:color w:val="000000"/>
          <w:sz w:val="20"/>
          <w:lang w:val="es-AR" w:eastAsia="es-ES_tradnl"/>
        </w:rPr>
        <w:t xml:space="preserve">". El </w:t>
      </w:r>
      <w:r w:rsidRPr="00AB7B88">
        <w:rPr>
          <w:rStyle w:val="Bodytext31"/>
          <w:rFonts w:ascii="Times New Roman" w:hAnsi="Times New Roman"/>
          <w:color w:val="000000"/>
          <w:sz w:val="20"/>
          <w:lang w:val="es-AR" w:eastAsia="es-ES_tradnl"/>
        </w:rPr>
        <w:t>artículo 3.1</w:t>
      </w:r>
      <w:r w:rsidRPr="00AB7B88">
        <w:rPr>
          <w:rStyle w:val="Bodytext26"/>
          <w:rFonts w:ascii="Times New Roman" w:hAnsi="Times New Roman"/>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hace referencia a inversiones o rentas de los nacionales o las sociedades. El </w:t>
      </w:r>
      <w:r w:rsidRPr="00AB7B88">
        <w:rPr>
          <w:rStyle w:val="Bodytext31"/>
          <w:rFonts w:ascii="Times New Roman" w:hAnsi="Times New Roman"/>
          <w:color w:val="000000"/>
          <w:sz w:val="20"/>
          <w:lang w:val="es-AR" w:eastAsia="es-ES_tradnl"/>
        </w:rPr>
        <w:t>artículo 3.2</w:t>
      </w:r>
      <w:r w:rsidRPr="00AB7B88">
        <w:rPr>
          <w:rStyle w:val="Bodytext26"/>
          <w:rFonts w:ascii="Times New Roman" w:hAnsi="Times New Roman"/>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establece "la gestión, mantenimiento, uso, goce o enajenación de sus inversiones de capital". En el contexto de la indemnización de pérdidas, el </w:t>
      </w:r>
      <w:r w:rsidRPr="00AB7B88">
        <w:rPr>
          <w:rStyle w:val="Bodytext31"/>
          <w:rFonts w:ascii="Times New Roman" w:hAnsi="Times New Roman"/>
          <w:color w:val="000000"/>
          <w:sz w:val="20"/>
          <w:lang w:val="es-AR" w:eastAsia="es-ES_tradnl"/>
        </w:rPr>
        <w:t>artículo 4</w:t>
      </w:r>
      <w:r w:rsidRPr="00AB7B88">
        <w:rPr>
          <w:rStyle w:val="Bodytext26"/>
          <w:rFonts w:ascii="Times New Roman" w:hAnsi="Times New Roman"/>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se refiere a "sus inversiones". El </w:t>
      </w:r>
      <w:r w:rsidRPr="00AB7B88">
        <w:rPr>
          <w:rStyle w:val="Bodytext31"/>
          <w:rFonts w:ascii="Times New Roman" w:hAnsi="Times New Roman"/>
          <w:color w:val="000000"/>
          <w:sz w:val="20"/>
          <w:lang w:val="es-AR" w:eastAsia="es-ES_tradnl"/>
        </w:rPr>
        <w:t>artículo 5.1</w:t>
      </w:r>
      <w:r w:rsidRPr="00AB7B88">
        <w:rPr>
          <w:rStyle w:val="Bodytext41"/>
          <w:rFonts w:ascii="Times New Roman" w:hAnsi="Times New Roman"/>
          <w:color w:val="000000"/>
          <w:sz w:val="20"/>
          <w:lang w:val="es-AR" w:eastAsia="es-ES_tradnl"/>
        </w:rPr>
        <w:t>,</w:t>
      </w:r>
      <w:r w:rsidRPr="00AB7B88">
        <w:rPr>
          <w:rStyle w:val="Bodytext52"/>
          <w:rFonts w:ascii="Times New Roman" w:hAnsi="Times New Roman"/>
          <w:color w:val="000000"/>
          <w:sz w:val="20"/>
          <w:lang w:val="es-AR" w:eastAsia="es-ES_tradnl"/>
        </w:rPr>
        <w:t xml:space="preserve"> sobre expropiación, se refiere a "[i]nversiones de capital de nacionales o sociedades" y "[e]l nacional o sociedad afectada tendrá derecho, en virtud de las leyes de la Parte Contratante que efectúe dicha expropiación, a una pronta revisión, por la autoridad competente e independiente que tenga jurisdicción de acuerdo con la legislación de esta Parte Contratante, de su causa y a la avaluación de sus inversiones de capital conforme a los principios establecidos en este párrafo". El </w:t>
      </w:r>
      <w:r w:rsidRPr="00AB7B88">
        <w:rPr>
          <w:rStyle w:val="Bodytext31"/>
          <w:rFonts w:ascii="Times New Roman" w:hAnsi="Times New Roman"/>
          <w:color w:val="000000"/>
          <w:sz w:val="20"/>
          <w:lang w:val="es-AR" w:eastAsia="es-ES_tradnl"/>
        </w:rPr>
        <w:t>artículo 8.1</w:t>
      </w:r>
      <w:r w:rsidRPr="00AB7B88">
        <w:rPr>
          <w:rStyle w:val="Bodytext26"/>
          <w:rFonts w:ascii="Times New Roman" w:hAnsi="Times New Roman"/>
          <w:color w:val="000000"/>
          <w:sz w:val="20"/>
          <w:lang w:val="es-AR" w:eastAsia="es-ES_tradnl"/>
        </w:rPr>
        <w:t xml:space="preserve"> </w:t>
      </w:r>
      <w:r w:rsidRPr="00AB7B88">
        <w:rPr>
          <w:rStyle w:val="Bodytext52"/>
          <w:rFonts w:ascii="Times New Roman" w:hAnsi="Times New Roman"/>
          <w:color w:val="000000"/>
          <w:sz w:val="20"/>
          <w:lang w:val="es-AR" w:eastAsia="es-ES_tradnl"/>
        </w:rPr>
        <w:t>se refiere a "[c]ontroversias que surgieren entre un nacional o una sociedad de una Parte Contratante y la otra Parte Contratante con relación a una inversión de la primera [...]</w:t>
      </w:r>
      <w:r w:rsidRPr="00AB7B88">
        <w:rPr>
          <w:rStyle w:val="Bodytext52"/>
          <w:rFonts w:ascii="Times New Roman" w:hAnsi="Times New Roman"/>
          <w:color w:val="000000"/>
          <w:sz w:val="20"/>
          <w:vertAlign w:val="superscript"/>
          <w:lang w:eastAsia="es-ES_tradnl"/>
        </w:rPr>
        <w:footnoteReference w:id="275"/>
      </w:r>
      <w:r w:rsidRPr="00AB7B88">
        <w:rPr>
          <w:rStyle w:val="Bodytext52"/>
          <w:rFonts w:ascii="Times New Roman" w:hAnsi="Times New Roman"/>
          <w:color w:val="000000"/>
          <w:sz w:val="20"/>
          <w:lang w:val="es-AR" w:eastAsia="es-ES_tradnl"/>
        </w:rPr>
        <w:t>". Aunque lo anterior pueda ser indicativo de una concepción muy amplia de la relación requerida entre el inversor y la inversión, el TBI no prescinde de cierta forma de pertenencia.</w:t>
      </w:r>
    </w:p>
    <w:p w14:paraId="39E66007" w14:textId="77777777" w:rsidR="003B3957" w:rsidRPr="00AB7B88" w:rsidRDefault="003B3957" w:rsidP="00B62CDB">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artículo 5.2 de la versión en inglés del TBI merece una referencia especial. </w:t>
      </w:r>
      <w:r w:rsidRPr="00AB7B88">
        <w:rPr>
          <w:rStyle w:val="Bodytext52"/>
          <w:rFonts w:ascii="Times New Roman" w:hAnsi="Times New Roman"/>
          <w:color w:val="000000"/>
          <w:sz w:val="20"/>
          <w:lang w:eastAsia="es-ES_tradnl"/>
        </w:rPr>
        <w:t>Se trata del único artículo que incluye un término que denota propiedad: "[</w:t>
      </w:r>
      <w:r w:rsidRPr="00AB7B88">
        <w:rPr>
          <w:rStyle w:val="Bodytext52"/>
          <w:rFonts w:ascii="Times New Roman" w:hAnsi="Times New Roman"/>
          <w:i/>
          <w:color w:val="000000"/>
          <w:sz w:val="20"/>
          <w:lang w:eastAsia="es-ES_tradnl"/>
        </w:rPr>
        <w:t>w</w:t>
      </w:r>
      <w:r w:rsidRPr="00AB7B88">
        <w:rPr>
          <w:rStyle w:val="Bodytext52"/>
          <w:rFonts w:ascii="Times New Roman" w:hAnsi="Times New Roman"/>
          <w:color w:val="000000"/>
          <w:sz w:val="20"/>
          <w:lang w:eastAsia="es-ES_tradnl"/>
        </w:rPr>
        <w:t>]</w:t>
      </w:r>
      <w:r w:rsidRPr="00AB7B88">
        <w:rPr>
          <w:rStyle w:val="Bodytext52"/>
          <w:rFonts w:ascii="Times New Roman" w:hAnsi="Times New Roman"/>
          <w:i/>
          <w:color w:val="000000"/>
          <w:sz w:val="20"/>
          <w:lang w:eastAsia="es-ES_tradnl"/>
        </w:rPr>
        <w:t>here</w:t>
      </w:r>
      <w:r w:rsidRPr="00AB7B88">
        <w:rPr>
          <w:rStyle w:val="Bodytext52"/>
          <w:rFonts w:ascii="Times New Roman" w:hAnsi="Times New Roman"/>
          <w:color w:val="000000"/>
          <w:sz w:val="20"/>
          <w:lang w:eastAsia="es-ES_tradnl"/>
        </w:rPr>
        <w:t xml:space="preserve"> </w:t>
      </w:r>
      <w:r w:rsidRPr="00AB7B88">
        <w:rPr>
          <w:rStyle w:val="Bodytext13125pt"/>
          <w:rFonts w:ascii="Times New Roman" w:hAnsi="Times New Roman"/>
          <w:b w:val="0"/>
          <w:bCs w:val="0"/>
          <w:smallCaps w:val="0"/>
          <w:color w:val="000000"/>
          <w:sz w:val="20"/>
          <w:lang w:eastAsia="es-ES_tradnl"/>
        </w:rPr>
        <w:t>a</w:t>
      </w:r>
      <w:r w:rsidRPr="00AB7B88">
        <w:rPr>
          <w:rStyle w:val="Bodytext13125pt"/>
          <w:rFonts w:ascii="Times New Roman" w:hAnsi="Times New Roman"/>
          <w:b w:val="0"/>
          <w:smallCaps w:val="0"/>
          <w:color w:val="000000"/>
          <w:sz w:val="20"/>
          <w:lang w:eastAsia="es-ES_tradnl"/>
        </w:rPr>
        <w:t xml:space="preserve"> </w:t>
      </w:r>
      <w:r w:rsidRPr="00AB7B88">
        <w:rPr>
          <w:rStyle w:val="Bodytext13125pt"/>
          <w:rFonts w:ascii="Times New Roman" w:hAnsi="Times New Roman"/>
          <w:b w:val="0"/>
          <w:bCs w:val="0"/>
          <w:smallCaps w:val="0"/>
          <w:color w:val="000000"/>
          <w:sz w:val="20"/>
          <w:lang w:eastAsia="es-ES_tradnl"/>
        </w:rPr>
        <w:t>ContractingParty</w:t>
      </w:r>
      <w:r w:rsidR="00A83A25" w:rsidRPr="00AB7B88">
        <w:rPr>
          <w:rStyle w:val="Bodytext13125pt"/>
          <w:rFonts w:ascii="Times New Roman" w:hAnsi="Times New Roman"/>
          <w:b w:val="0"/>
          <w:bCs w:val="0"/>
          <w:smallCaps w:val="0"/>
          <w:color w:val="000000"/>
          <w:sz w:val="20"/>
          <w:lang w:eastAsia="es-ES_tradnl"/>
        </w:rPr>
        <w:t xml:space="preserve"> </w:t>
      </w:r>
      <w:r w:rsidRPr="00AB7B88">
        <w:rPr>
          <w:rStyle w:val="Bodytext13125pt"/>
          <w:rFonts w:ascii="Times New Roman" w:hAnsi="Times New Roman"/>
          <w:b w:val="0"/>
          <w:bCs w:val="0"/>
          <w:smallCaps w:val="0"/>
          <w:color w:val="000000"/>
          <w:sz w:val="20"/>
          <w:lang w:eastAsia="es-ES_tradnl"/>
        </w:rPr>
        <w:t xml:space="preserve">expropriates the assets of a company which is incorporated or constituted under the lawin force in any part of its own territory and in which nationals or companies of the other Contracting Parte own shares </w:t>
      </w:r>
      <w:r w:rsidRPr="00AB7B88">
        <w:rPr>
          <w:rStyle w:val="Bodytext52"/>
          <w:rFonts w:ascii="Times New Roman" w:hAnsi="Times New Roman"/>
          <w:color w:val="000000"/>
          <w:sz w:val="20"/>
          <w:lang w:eastAsia="es-ES_tradnl"/>
        </w:rPr>
        <w:t xml:space="preserve">[...]". </w:t>
      </w:r>
      <w:r w:rsidRPr="00AB7B88">
        <w:rPr>
          <w:rStyle w:val="Bodytext52"/>
          <w:rFonts w:ascii="Times New Roman" w:hAnsi="Times New Roman"/>
          <w:color w:val="000000"/>
          <w:sz w:val="20"/>
          <w:lang w:val="es-AR" w:eastAsia="es-ES_tradnl"/>
        </w:rPr>
        <w:t>El Tribunal no considera que el uso de la palabra "own" solo en ese artículo respalda la interpretación, como se ha argüido, de que en cualquier otro caso no se exigiría titularidad, puesto que la versión en español del artículo 5 emplea "de</w:t>
      </w:r>
      <w:r w:rsidRPr="00AB7B88">
        <w:rPr>
          <w:rStyle w:val="Bodytext52"/>
          <w:rFonts w:ascii="Times New Roman" w:hAnsi="Times New Roman"/>
          <w:color w:val="000000"/>
          <w:sz w:val="20"/>
          <w:vertAlign w:val="superscript"/>
          <w:lang w:eastAsia="es-ES_tradnl"/>
        </w:rPr>
        <w:footnoteReference w:id="276"/>
      </w:r>
      <w:r w:rsidRPr="00AB7B88">
        <w:rPr>
          <w:rStyle w:val="Bodytext52"/>
          <w:rFonts w:ascii="Times New Roman" w:hAnsi="Times New Roman"/>
          <w:color w:val="000000"/>
          <w:sz w:val="20"/>
          <w:lang w:val="es-AR" w:eastAsia="es-ES_tradnl"/>
        </w:rPr>
        <w:t>" al igual que en los demás artículos del TBI en referencia a las inversiones de nacionales o sociedades.</w:t>
      </w:r>
    </w:p>
    <w:p w14:paraId="55FEB419" w14:textId="77777777" w:rsidR="003B3957" w:rsidRPr="00AB7B88" w:rsidRDefault="003B3957" w:rsidP="00B62CDB">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conclusión, un análisis textual del TBI revela que se requiere un vínculo posesivo. La cuestión es determinar cómo se ha articulado este vínculo desde el punto de vista jurídico. Para abordar esta pregunta, el </w:t>
      </w:r>
      <w:r w:rsidRPr="00AB7B88">
        <w:rPr>
          <w:rStyle w:val="Bodytext52"/>
          <w:rFonts w:ascii="Times New Roman" w:hAnsi="Times New Roman"/>
          <w:color w:val="000000"/>
          <w:sz w:val="20"/>
          <w:lang w:val="es-AR" w:eastAsia="es-ES_tradnl"/>
        </w:rPr>
        <w:lastRenderedPageBreak/>
        <w:t xml:space="preserve">Tribunal analizará primero la relación jurídica entre los Demandantes y los bienes en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en el derecho de las Islas Caimán y, en segundo lugar, si esta relación facultaría a los Demandantes a plantear una pretensión al amparo del TBI.</w:t>
      </w:r>
    </w:p>
    <w:p w14:paraId="27500ED5" w14:textId="77777777" w:rsidR="003B3957" w:rsidRPr="00AB7B88" w:rsidRDefault="003B3957" w:rsidP="00071855">
      <w:pPr>
        <w:pStyle w:val="Heading20"/>
        <w:keepNext/>
        <w:keepLines/>
        <w:numPr>
          <w:ilvl w:val="0"/>
          <w:numId w:val="47"/>
        </w:numPr>
        <w:shd w:val="clear" w:color="auto" w:fill="auto"/>
        <w:tabs>
          <w:tab w:val="left" w:pos="340"/>
        </w:tabs>
        <w:spacing w:before="380" w:after="0" w:line="360" w:lineRule="auto"/>
        <w:ind w:right="240" w:firstLine="0"/>
        <w:jc w:val="left"/>
        <w:rPr>
          <w:rFonts w:ascii="Times New Roman" w:hAnsi="Times New Roman"/>
          <w:b w:val="0"/>
          <w:sz w:val="20"/>
          <w:lang w:val="es-AR"/>
        </w:rPr>
      </w:pPr>
      <w:bookmarkStart w:id="92" w:name="bookmark93"/>
      <w:bookmarkStart w:id="93" w:name="bookmark94"/>
      <w:r w:rsidRPr="00AB7B88">
        <w:rPr>
          <w:rStyle w:val="Heading2"/>
          <w:rFonts w:ascii="Times New Roman" w:hAnsi="Times New Roman"/>
          <w:b/>
          <w:color w:val="000000"/>
          <w:sz w:val="20"/>
          <w:lang w:val="es-AR" w:eastAsia="es-ES_tradnl"/>
        </w:rPr>
        <w:t>Los derechos de los Demandantes en virtud de la ley de las Islas Caimán</w:t>
      </w:r>
      <w:bookmarkEnd w:id="92"/>
      <w:bookmarkEnd w:id="93"/>
    </w:p>
    <w:p w14:paraId="4555BC7F" w14:textId="77777777" w:rsidR="003B3957" w:rsidRPr="00AB7B88" w:rsidRDefault="003B3957" w:rsidP="00B62CDB">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La escritura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en conjunción con las escrituras suplementarias de 2012 y 2016, muestra una evolución gradual del estatus de los Demandantes como beneficiarios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pasando de ser </w:t>
      </w:r>
      <w:r w:rsidRPr="00AB7B88">
        <w:rPr>
          <w:rStyle w:val="Bodytext13125pt"/>
          <w:rFonts w:ascii="Times New Roman" w:hAnsi="Times New Roman"/>
          <w:b w:val="0"/>
          <w:bCs w:val="0"/>
          <w:smallCaps w:val="0"/>
          <w:color w:val="000000"/>
          <w:sz w:val="20"/>
          <w:lang w:val="es-AR" w:eastAsia="es-ES_tradnl"/>
        </w:rPr>
        <w:t>discretionary beneficiarles</w:t>
      </w:r>
      <w:r w:rsidRPr="00AB7B88">
        <w:rPr>
          <w:rStyle w:val="Bodytext52"/>
          <w:rFonts w:ascii="Times New Roman" w:hAnsi="Times New Roman"/>
          <w:color w:val="000000"/>
          <w:sz w:val="20"/>
          <w:lang w:val="es-AR" w:eastAsia="es-ES_tradnl"/>
        </w:rPr>
        <w:t xml:space="preserve"> de un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revocable a </w:t>
      </w:r>
      <w:r w:rsidRPr="00AB7B88">
        <w:rPr>
          <w:rStyle w:val="Bodytext13125pt"/>
          <w:rFonts w:ascii="Times New Roman" w:hAnsi="Times New Roman"/>
          <w:b w:val="0"/>
          <w:bCs w:val="0"/>
          <w:smallCaps w:val="0"/>
          <w:color w:val="000000"/>
          <w:sz w:val="20"/>
          <w:lang w:val="es-AR" w:eastAsia="es-ES_tradnl"/>
        </w:rPr>
        <w:t>fixed beneficiaries</w:t>
      </w:r>
      <w:r w:rsidRPr="00AB7B88">
        <w:rPr>
          <w:rStyle w:val="Bodytext52"/>
          <w:rFonts w:ascii="Times New Roman" w:hAnsi="Times New Roman"/>
          <w:color w:val="000000"/>
          <w:sz w:val="20"/>
          <w:lang w:val="es-AR" w:eastAsia="es-ES_tradnl"/>
        </w:rPr>
        <w:t xml:space="preserve"> de un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irrevocable. Los deseos del </w:t>
      </w:r>
      <w:r w:rsidRPr="00AB7B88">
        <w:rPr>
          <w:rStyle w:val="Bodytext13125pt"/>
          <w:rFonts w:ascii="Times New Roman" w:hAnsi="Times New Roman"/>
          <w:b w:val="0"/>
          <w:bCs w:val="0"/>
          <w:smallCaps w:val="0"/>
          <w:color w:val="000000"/>
          <w:sz w:val="20"/>
          <w:lang w:val="es-AR" w:eastAsia="es-ES_tradnl"/>
        </w:rPr>
        <w:t>Settlor</w:t>
      </w:r>
      <w:r w:rsidRPr="00AB7B88">
        <w:rPr>
          <w:rStyle w:val="Bodytext52"/>
          <w:rFonts w:ascii="Times New Roman" w:hAnsi="Times New Roman"/>
          <w:color w:val="000000"/>
          <w:sz w:val="20"/>
          <w:lang w:val="es-AR" w:eastAsia="es-ES_tradnl"/>
        </w:rPr>
        <w:t xml:space="preserve"> en 2008 se tomaron legalmente vinculantes cuando los Demandantes se convirtieron en </w:t>
      </w:r>
      <w:r w:rsidRPr="00AB7B88">
        <w:rPr>
          <w:rStyle w:val="Bodytext13125pt"/>
          <w:rFonts w:ascii="Times New Roman" w:hAnsi="Times New Roman"/>
          <w:b w:val="0"/>
          <w:bCs w:val="0"/>
          <w:smallCaps w:val="0"/>
          <w:color w:val="000000"/>
          <w:sz w:val="20"/>
          <w:lang w:val="es-AR" w:eastAsia="es-ES_tradnl"/>
        </w:rPr>
        <w:t>fixed beneficiaries</w:t>
      </w:r>
      <w:r w:rsidRPr="00AB7B88">
        <w:rPr>
          <w:rStyle w:val="Bodytext52"/>
          <w:rFonts w:ascii="Times New Roman" w:hAnsi="Times New Roman"/>
          <w:color w:val="000000"/>
          <w:sz w:val="20"/>
          <w:lang w:val="es-AR" w:eastAsia="es-ES_tradnl"/>
        </w:rPr>
        <w:t xml:space="preserve"> en 2016. La transición de un </w:t>
      </w:r>
      <w:r w:rsidRPr="00AB7B88">
        <w:rPr>
          <w:rStyle w:val="Bodytext13125pt"/>
          <w:rFonts w:ascii="Times New Roman" w:hAnsi="Times New Roman"/>
          <w:b w:val="0"/>
          <w:bCs w:val="0"/>
          <w:smallCaps w:val="0"/>
          <w:color w:val="000000"/>
          <w:sz w:val="20"/>
          <w:lang w:val="es-AR" w:eastAsia="es-ES_tradnl"/>
        </w:rPr>
        <w:t>discretionary trust</w:t>
      </w:r>
      <w:r w:rsidRPr="00AB7B88">
        <w:rPr>
          <w:rStyle w:val="Bodytext52"/>
          <w:rFonts w:ascii="Times New Roman" w:hAnsi="Times New Roman"/>
          <w:color w:val="000000"/>
          <w:sz w:val="20"/>
          <w:lang w:val="es-AR" w:eastAsia="es-ES_tradnl"/>
        </w:rPr>
        <w:t xml:space="preserve"> a un </w:t>
      </w:r>
      <w:r w:rsidRPr="00AB7B88">
        <w:rPr>
          <w:rStyle w:val="Bodytext13125pt"/>
          <w:rFonts w:ascii="Times New Roman" w:hAnsi="Times New Roman"/>
          <w:b w:val="0"/>
          <w:bCs w:val="0"/>
          <w:smallCaps w:val="0"/>
          <w:color w:val="000000"/>
          <w:sz w:val="20"/>
          <w:lang w:val="es-AR" w:eastAsia="es-ES_tradnl"/>
        </w:rPr>
        <w:t>fixed</w:t>
      </w:r>
      <w:r w:rsidR="001F0A73" w:rsidRPr="00AB7B88">
        <w:rPr>
          <w:rStyle w:val="Bodytext13125pt"/>
          <w:rFonts w:ascii="Times New Roman" w:hAnsi="Times New Roman"/>
          <w:b w:val="0"/>
          <w:bCs w:val="0"/>
          <w:smallCaps w:val="0"/>
          <w:color w:val="000000"/>
          <w:sz w:val="20"/>
          <w:lang w:val="es-AR" w:eastAsia="es-ES_tradnl"/>
        </w:rPr>
        <w:t xml:space="preserve"> Trust </w:t>
      </w:r>
      <w:r w:rsidRPr="00AB7B88">
        <w:rPr>
          <w:rStyle w:val="Bodytext52"/>
          <w:rFonts w:ascii="Times New Roman" w:hAnsi="Times New Roman"/>
          <w:color w:val="000000"/>
          <w:sz w:val="20"/>
          <w:lang w:val="es-AR" w:eastAsia="es-ES_tradnl"/>
        </w:rPr>
        <w:t xml:space="preserve">conforme explicaron los peritos de las Partes, es determinante para considerar a los Demandantes </w:t>
      </w:r>
      <w:r w:rsidRPr="00AB7B88">
        <w:rPr>
          <w:rStyle w:val="Bodytext13125pt"/>
          <w:rFonts w:ascii="Times New Roman" w:hAnsi="Times New Roman"/>
          <w:b w:val="0"/>
          <w:bCs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de los bienes no brasileños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w:t>
      </w:r>
    </w:p>
    <w:p w14:paraId="052D3A0B" w14:textId="77777777" w:rsidR="003B3957" w:rsidRPr="00AB7B88" w:rsidRDefault="003B3957" w:rsidP="00B62CDB">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la Notificación de Arbitraje, se hace referencia a los Demandantes como los </w:t>
      </w:r>
      <w:r w:rsidRPr="00AB7B88">
        <w:rPr>
          <w:rStyle w:val="Bodytext13125pt"/>
          <w:rFonts w:ascii="Times New Roman" w:hAnsi="Times New Roman"/>
          <w:b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de los bienes del </w:t>
      </w:r>
      <w:r w:rsidRPr="00AB7B88">
        <w:rPr>
          <w:rStyle w:val="Bodytext13125pt"/>
          <w:rFonts w:ascii="Times New Roman" w:hAnsi="Times New Roman"/>
          <w:b w:val="0"/>
          <w:smallCaps w:val="0"/>
          <w:color w:val="000000"/>
          <w:sz w:val="20"/>
          <w:lang w:val="es-AR" w:eastAsia="es-ES_tradnl"/>
        </w:rPr>
        <w:t>Trust</w:t>
      </w:r>
      <w:r w:rsidRPr="00AB7B88">
        <w:rPr>
          <w:rStyle w:val="FootnoteReference"/>
          <w:bCs/>
          <w:iCs/>
          <w:color w:val="000000"/>
          <w:sz w:val="20"/>
          <w:szCs w:val="20"/>
          <w:lang w:eastAsia="es-ES_tradnl"/>
        </w:rPr>
        <w:footnoteReference w:id="277"/>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Sin embargo, como observa la Demandada, en el Escrito de Contestación (Jurisdicción) los Demandantes aducen tener "intereses como </w:t>
      </w:r>
      <w:r w:rsidRPr="00AB7B88">
        <w:rPr>
          <w:rStyle w:val="Bodytext13125pt"/>
          <w:rFonts w:ascii="Times New Roman" w:hAnsi="Times New Roman"/>
          <w:b w:val="0"/>
          <w:smallCaps w:val="0"/>
          <w:color w:val="000000"/>
          <w:sz w:val="20"/>
          <w:lang w:val="es-AR" w:eastAsia="es-ES_tradnl"/>
        </w:rPr>
        <w:t>discretionarybeneficiaries" y</w:t>
      </w:r>
      <w:r w:rsidRPr="00AB7B88">
        <w:rPr>
          <w:rStyle w:val="Bodytext52"/>
          <w:rFonts w:ascii="Times New Roman" w:hAnsi="Times New Roman"/>
          <w:color w:val="000000"/>
          <w:sz w:val="20"/>
          <w:lang w:val="es-AR" w:eastAsia="es-ES_tradnl"/>
        </w:rPr>
        <w:t xml:space="preserve"> como tales son [titulares de un interés legítimo]</w:t>
      </w:r>
      <w:r w:rsidRPr="00AB7B88">
        <w:rPr>
          <w:rStyle w:val="Bodytext52"/>
          <w:rFonts w:ascii="Times New Roman" w:hAnsi="Times New Roman"/>
          <w:color w:val="000000"/>
          <w:sz w:val="20"/>
          <w:vertAlign w:val="superscript"/>
          <w:lang w:eastAsia="es-ES_tradnl"/>
        </w:rPr>
        <w:footnoteReference w:id="278"/>
      </w:r>
      <w:r w:rsidRPr="00AB7B88">
        <w:rPr>
          <w:rStyle w:val="Bodytext52"/>
          <w:rFonts w:ascii="Times New Roman" w:hAnsi="Times New Roman"/>
          <w:color w:val="000000"/>
          <w:sz w:val="20"/>
          <w:lang w:val="es-AR" w:eastAsia="es-ES_tradnl"/>
        </w:rPr>
        <w:t xml:space="preserve">". ¿Son los Demandantes </w:t>
      </w:r>
      <w:r w:rsidRPr="00AB7B88">
        <w:rPr>
          <w:rStyle w:val="Bodytext13125pt"/>
          <w:rFonts w:ascii="Times New Roman" w:hAnsi="Times New Roman"/>
          <w:b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de un </w:t>
      </w:r>
      <w:r w:rsidRPr="00AB7B88">
        <w:rPr>
          <w:rStyle w:val="Bodytext13125pt"/>
          <w:rFonts w:ascii="Times New Roman" w:hAnsi="Times New Roman"/>
          <w:b w:val="0"/>
          <w:smallCaps w:val="0"/>
          <w:color w:val="000000"/>
          <w:sz w:val="20"/>
          <w:lang w:val="es-AR" w:eastAsia="es-ES_tradnl"/>
        </w:rPr>
        <w:t>discretionary trust,</w:t>
      </w:r>
      <w:r w:rsidRPr="00AB7B88">
        <w:rPr>
          <w:rStyle w:val="Bodytext52"/>
          <w:rFonts w:ascii="Times New Roman" w:hAnsi="Times New Roman"/>
          <w:color w:val="000000"/>
          <w:sz w:val="20"/>
          <w:lang w:val="es-AR" w:eastAsia="es-ES_tradnl"/>
        </w:rPr>
        <w:t xml:space="preserve"> o titulares de un interés legítimo? La Demandada afirma que la única relevancia de esta frase es que "se refiere solo a un </w:t>
      </w:r>
      <w:r w:rsidRPr="00AB7B88">
        <w:rPr>
          <w:rStyle w:val="Bodytext13125pt"/>
          <w:rFonts w:ascii="Times New Roman" w:hAnsi="Times New Roman"/>
          <w:b w:val="0"/>
          <w:smallCaps w:val="0"/>
          <w:color w:val="000000"/>
          <w:sz w:val="20"/>
          <w:lang w:val="es-AR" w:eastAsia="es-ES_tradnl"/>
        </w:rPr>
        <w:t xml:space="preserve">beneficial </w:t>
      </w:r>
      <w:r w:rsidRPr="00AB7B88">
        <w:rPr>
          <w:rStyle w:val="Bodytext145pt"/>
          <w:rFonts w:ascii="Times New Roman" w:hAnsi="Times New Roman"/>
          <w:b w:val="0"/>
          <w:smallCaps w:val="0"/>
          <w:color w:val="000000"/>
          <w:sz w:val="20"/>
          <w:u w:val="single"/>
          <w:lang w:val="es-AR" w:eastAsia="es-ES_tradnl"/>
        </w:rPr>
        <w:t>owner</w:t>
      </w:r>
      <w:r w:rsidRPr="00AB7B88">
        <w:rPr>
          <w:rStyle w:val="Bodytext52"/>
          <w:rFonts w:ascii="Times New Roman" w:hAnsi="Times New Roman"/>
          <w:color w:val="000000"/>
          <w:sz w:val="20"/>
          <w:lang w:val="es-AR" w:eastAsia="es-ES_tradnl"/>
        </w:rPr>
        <w:t xml:space="preserve"> de un bien</w:t>
      </w:r>
      <w:r w:rsidRPr="00AB7B88">
        <w:rPr>
          <w:rStyle w:val="Bodytext52"/>
          <w:rFonts w:ascii="Times New Roman" w:hAnsi="Times New Roman"/>
          <w:color w:val="000000"/>
          <w:sz w:val="20"/>
          <w:vertAlign w:val="superscript"/>
          <w:lang w:eastAsia="es-ES_tradnl"/>
        </w:rPr>
        <w:footnoteReference w:id="279"/>
      </w:r>
      <w:r w:rsidRPr="00AB7B88">
        <w:rPr>
          <w:rStyle w:val="Bodytext52"/>
          <w:rFonts w:ascii="Times New Roman" w:hAnsi="Times New Roman"/>
          <w:color w:val="000000"/>
          <w:sz w:val="20"/>
          <w:lang w:val="es-AR" w:eastAsia="es-ES_tradnl"/>
        </w:rPr>
        <w:t xml:space="preserve">". Los peritos de las Partes sobre derecho de las Islas Caimán concuerdan en que, conforme al derecho de las Islas Caimán, en el caso de un </w:t>
      </w:r>
      <w:r w:rsidRPr="00AB7B88">
        <w:rPr>
          <w:rStyle w:val="Bodytext13125pt"/>
          <w:rFonts w:ascii="Times New Roman" w:hAnsi="Times New Roman"/>
          <w:b w:val="0"/>
          <w:smallCaps w:val="0"/>
          <w:color w:val="000000"/>
          <w:sz w:val="20"/>
          <w:lang w:val="es-AR" w:eastAsia="es-ES_tradnl"/>
        </w:rPr>
        <w:t>discretionary trust,</w:t>
      </w:r>
      <w:r w:rsidRPr="00AB7B88">
        <w:rPr>
          <w:rStyle w:val="Bodytext52"/>
          <w:rFonts w:ascii="Times New Roman" w:hAnsi="Times New Roman"/>
          <w:color w:val="000000"/>
          <w:sz w:val="20"/>
          <w:lang w:val="es-AR" w:eastAsia="es-ES_tradnl"/>
        </w:rPr>
        <w:t xml:space="preserve"> "cuando el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aún no ha ejercido su discreción a favor del beneficiario, ningún beneficiario individual puede decir que tiene derecho a una porción o parte específica de los bienes </w:t>
      </w:r>
      <w:r w:rsidRPr="00AB7B88">
        <w:rPr>
          <w:rStyle w:val="Bodytext13125pt"/>
          <w:rFonts w:ascii="Times New Roman" w:hAnsi="Times New Roman"/>
          <w:b w:val="0"/>
          <w:smallCaps w:val="0"/>
          <w:color w:val="000000"/>
          <w:sz w:val="20"/>
          <w:lang w:val="es-AR" w:eastAsia="es-ES_tradnl"/>
        </w:rPr>
        <w:t>[en el trust],</w:t>
      </w:r>
      <w:r w:rsidRPr="00AB7B88">
        <w:rPr>
          <w:rStyle w:val="Bodytext52"/>
          <w:rFonts w:ascii="Times New Roman" w:hAnsi="Times New Roman"/>
          <w:color w:val="000000"/>
          <w:sz w:val="20"/>
          <w:lang w:val="es-AR" w:eastAsia="es-ES_tradnl"/>
        </w:rPr>
        <w:t xml:space="preserve"> que la naturaleza de la obligación de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52"/>
          <w:rFonts w:ascii="Times New Roman" w:hAnsi="Times New Roman"/>
          <w:color w:val="000000"/>
          <w:sz w:val="20"/>
          <w:lang w:val="es-AR" w:eastAsia="es-ES_tradnl"/>
        </w:rPr>
        <w:t xml:space="preserve"> hacia los beneficiarios es que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52"/>
          <w:rFonts w:ascii="Times New Roman" w:hAnsi="Times New Roman"/>
          <w:color w:val="000000"/>
          <w:sz w:val="20"/>
          <w:lang w:val="es-AR" w:eastAsia="es-ES_tradnl"/>
        </w:rPr>
        <w:t xml:space="preserve"> tienen la </w:t>
      </w:r>
      <w:r w:rsidRPr="00AB7B88">
        <w:rPr>
          <w:rStyle w:val="Bodytext13125pt"/>
          <w:rFonts w:ascii="Times New Roman" w:hAnsi="Times New Roman"/>
          <w:b w:val="0"/>
          <w:smallCaps w:val="0"/>
          <w:color w:val="000000"/>
          <w:sz w:val="20"/>
          <w:lang w:val="es-AR" w:eastAsia="es-ES_tradnl"/>
        </w:rPr>
        <w:t>obligación de considerar</w:t>
      </w:r>
      <w:r w:rsidRPr="00AB7B88">
        <w:rPr>
          <w:rStyle w:val="Bodytext52"/>
          <w:rFonts w:ascii="Times New Roman" w:hAnsi="Times New Roman"/>
          <w:color w:val="000000"/>
          <w:sz w:val="20"/>
          <w:lang w:val="es-AR" w:eastAsia="es-ES_tradnl"/>
        </w:rPr>
        <w:t xml:space="preserve"> el ejercicio de las discreciones fiduciarias de las que los beneficiarios son objeto a fin de determinar qué beneficios se les conferirá, si es que se les conferirá alguno</w:t>
      </w:r>
      <w:r w:rsidRPr="00AB7B88">
        <w:rPr>
          <w:rStyle w:val="Bodytext52"/>
          <w:rFonts w:ascii="Times New Roman" w:hAnsi="Times New Roman"/>
          <w:color w:val="000000"/>
          <w:sz w:val="20"/>
          <w:vertAlign w:val="superscript"/>
          <w:lang w:eastAsia="es-ES_tradnl"/>
        </w:rPr>
        <w:footnoteReference w:id="280"/>
      </w:r>
      <w:r w:rsidRPr="00AB7B88">
        <w:rPr>
          <w:rStyle w:val="Bodytext52"/>
          <w:rFonts w:ascii="Times New Roman" w:hAnsi="Times New Roman"/>
          <w:color w:val="000000"/>
          <w:sz w:val="20"/>
          <w:lang w:val="es-AR" w:eastAsia="es-ES_tradnl"/>
        </w:rPr>
        <w:t xml:space="preserve">". De hecho, "un </w:t>
      </w:r>
      <w:r w:rsidRPr="00AB7B88">
        <w:rPr>
          <w:rStyle w:val="Bodytext13125pt"/>
          <w:rFonts w:ascii="Times New Roman" w:hAnsi="Times New Roman"/>
          <w:b w:val="0"/>
          <w:smallCaps w:val="0"/>
          <w:color w:val="000000"/>
          <w:sz w:val="20"/>
          <w:lang w:val="es-AR" w:eastAsia="es-ES_tradnl"/>
        </w:rPr>
        <w:t>discretionary trust</w:t>
      </w:r>
      <w:r w:rsidRPr="00AB7B88">
        <w:rPr>
          <w:rStyle w:val="Bodytext52"/>
          <w:rFonts w:ascii="Times New Roman" w:hAnsi="Times New Roman"/>
          <w:color w:val="000000"/>
          <w:sz w:val="20"/>
          <w:lang w:val="es-AR" w:eastAsia="es-ES_tradnl"/>
        </w:rPr>
        <w:t xml:space="preserve"> no tiene a nadie a quien se puede decir que se le otorga el </w:t>
      </w:r>
      <w:r w:rsidRPr="00AB7B88">
        <w:rPr>
          <w:rStyle w:val="Bodytext13125pt"/>
          <w:rFonts w:ascii="Times New Roman" w:hAnsi="Times New Roman"/>
          <w:b w:val="0"/>
          <w:smallCaps w:val="0"/>
          <w:color w:val="000000"/>
          <w:sz w:val="20"/>
          <w:lang w:val="es-AR" w:eastAsia="es-ES_tradnl"/>
        </w:rPr>
        <w:t>beneficial interest</w:t>
      </w:r>
      <w:r w:rsidRPr="00AB7B88">
        <w:rPr>
          <w:rStyle w:val="Bodytext52"/>
          <w:rFonts w:ascii="Times New Roman" w:hAnsi="Times New Roman"/>
          <w:color w:val="000000"/>
          <w:sz w:val="20"/>
          <w:lang w:val="es-AR" w:eastAsia="es-ES_tradnl"/>
        </w:rPr>
        <w:t xml:space="preserve"> de la propiedad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porque el otorgamiento depende de la selección de un objeto dentro de la clase designada</w:t>
      </w:r>
      <w:r w:rsidRPr="00AB7B88">
        <w:rPr>
          <w:rStyle w:val="Bodytext52"/>
          <w:rFonts w:ascii="Times New Roman" w:hAnsi="Times New Roman"/>
          <w:color w:val="000000"/>
          <w:sz w:val="20"/>
          <w:vertAlign w:val="superscript"/>
          <w:lang w:eastAsia="es-ES_tradnl"/>
        </w:rPr>
        <w:footnoteReference w:id="281"/>
      </w:r>
      <w:r w:rsidRPr="00AB7B88">
        <w:rPr>
          <w:rStyle w:val="Bodytext52"/>
          <w:rFonts w:ascii="Times New Roman" w:hAnsi="Times New Roman"/>
          <w:color w:val="000000"/>
          <w:sz w:val="20"/>
          <w:lang w:val="es-AR" w:eastAsia="es-ES_tradnl"/>
        </w:rPr>
        <w:t>".</w:t>
      </w:r>
    </w:p>
    <w:p w14:paraId="33186CAC" w14:textId="77777777" w:rsidR="003B3957" w:rsidRPr="00AB7B88" w:rsidRDefault="003B3957" w:rsidP="00B62CDB">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Mientras tanto y hasta que se confirió el interés en la propiedad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los Demandantes se han referido a </w:t>
      </w:r>
      <w:r w:rsidRPr="00AB7B88">
        <w:rPr>
          <w:rStyle w:val="Bodytext52"/>
          <w:rFonts w:ascii="Times New Roman" w:hAnsi="Times New Roman"/>
          <w:color w:val="000000"/>
          <w:sz w:val="20"/>
          <w:lang w:val="es-AR" w:eastAsia="es-ES_tradnl"/>
        </w:rPr>
        <w:lastRenderedPageBreak/>
        <w:t xml:space="preserve">la Carta de Deseos como un factor limitante de la discrecionalidad del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y para afirmar que los Demandantes satisfacen el criterio de titulares de un interés legítimo. Según resume el perito de los Demandantes, el Sr. Green, "los deseos del Sr. Agarwal como </w:t>
      </w:r>
      <w:r w:rsidRPr="00AB7B88">
        <w:rPr>
          <w:rStyle w:val="Bodytext13125pt"/>
          <w:rFonts w:ascii="Times New Roman" w:hAnsi="Times New Roman"/>
          <w:b w:val="0"/>
          <w:smallCaps w:val="0"/>
          <w:color w:val="000000"/>
          <w:sz w:val="20"/>
          <w:lang w:val="es-AR" w:eastAsia="es-ES_tradnl"/>
        </w:rPr>
        <w:t>Settlor</w:t>
      </w:r>
      <w:r w:rsidRPr="00AB7B88">
        <w:rPr>
          <w:rStyle w:val="Bodytext52"/>
          <w:rFonts w:ascii="Times New Roman" w:hAnsi="Times New Roman"/>
          <w:color w:val="000000"/>
          <w:sz w:val="20"/>
          <w:lang w:val="es-AR" w:eastAsia="es-ES_tradnl"/>
        </w:rPr>
        <w:t xml:space="preserve"> fueron en todo momento un mapa de ruta que indicaba cuáles eran los verdaderos intereses y las expectativas de beneficio económico respecto de los bienes no brasileños cuando estaba pendiente la determinación definitiva de la cuestión mediante la Designación del 1 de agosto de 2016</w:t>
      </w:r>
      <w:r w:rsidRPr="00AB7B88">
        <w:rPr>
          <w:rStyle w:val="Bodytext52"/>
          <w:rFonts w:ascii="Times New Roman" w:hAnsi="Times New Roman"/>
          <w:color w:val="000000"/>
          <w:sz w:val="20"/>
          <w:vertAlign w:val="superscript"/>
          <w:lang w:eastAsia="es-ES_tradnl"/>
        </w:rPr>
        <w:footnoteReference w:id="282"/>
      </w:r>
      <w:r w:rsidRPr="00AB7B88">
        <w:rPr>
          <w:rStyle w:val="Bodytext52"/>
          <w:rFonts w:ascii="Times New Roman" w:hAnsi="Times New Roman"/>
          <w:color w:val="000000"/>
          <w:sz w:val="20"/>
          <w:lang w:val="es-AR" w:eastAsia="es-ES_tradnl"/>
        </w:rPr>
        <w:t>".</w:t>
      </w:r>
    </w:p>
    <w:p w14:paraId="4B0DD08F" w14:textId="77777777" w:rsidR="003B3957" w:rsidRPr="00AB7B88" w:rsidRDefault="003B3957" w:rsidP="004648B5">
      <w:pPr>
        <w:pStyle w:val="Bodytext1"/>
        <w:shd w:val="clear" w:color="auto" w:fill="auto"/>
        <w:spacing w:before="380" w:line="360" w:lineRule="auto"/>
        <w:ind w:left="522" w:firstLine="0"/>
        <w:rPr>
          <w:sz w:val="20"/>
        </w:rPr>
      </w:pPr>
      <w:r w:rsidRPr="00AB7B88">
        <w:rPr>
          <w:rStyle w:val="Bodytext52"/>
          <w:rFonts w:ascii="Times New Roman" w:hAnsi="Times New Roman"/>
          <w:color w:val="000000"/>
          <w:sz w:val="20"/>
          <w:lang w:eastAsia="es-ES_tradnl"/>
        </w:rPr>
        <w:t>En particular porque:</w:t>
      </w:r>
    </w:p>
    <w:p w14:paraId="6C06E220" w14:textId="77777777" w:rsidR="003B3957" w:rsidRPr="00AB7B88" w:rsidRDefault="003B3957" w:rsidP="000F1334">
      <w:pPr>
        <w:pStyle w:val="Bodytext1"/>
        <w:numPr>
          <w:ilvl w:val="0"/>
          <w:numId w:val="48"/>
        </w:numPr>
        <w:shd w:val="clear" w:color="auto" w:fill="auto"/>
        <w:tabs>
          <w:tab w:val="left" w:pos="851"/>
        </w:tabs>
        <w:spacing w:before="380" w:line="360" w:lineRule="auto"/>
        <w:ind w:left="522" w:firstLine="0"/>
        <w:rPr>
          <w:sz w:val="20"/>
          <w:lang w:val="es-AR"/>
        </w:rPr>
      </w:pPr>
      <w:r w:rsidRPr="00AB7B88">
        <w:rPr>
          <w:rStyle w:val="Bodytext52"/>
          <w:rFonts w:ascii="Times New Roman" w:hAnsi="Times New Roman"/>
          <w:color w:val="000000"/>
          <w:sz w:val="20"/>
          <w:lang w:val="es-AR" w:eastAsia="es-ES_tradnl"/>
        </w:rPr>
        <w:t xml:space="preserve">Uno esperaría sería que los deseos del </w:t>
      </w:r>
      <w:r w:rsidRPr="00AB7B88">
        <w:rPr>
          <w:rStyle w:val="Bodytext13125pt"/>
          <w:rFonts w:ascii="Times New Roman" w:hAnsi="Times New Roman"/>
          <w:b w:val="0"/>
          <w:smallCaps w:val="0"/>
          <w:color w:val="000000"/>
          <w:sz w:val="20"/>
          <w:lang w:val="es-AR" w:eastAsia="es-ES_tradnl"/>
        </w:rPr>
        <w:t>settlor</w:t>
      </w:r>
      <w:r w:rsidRPr="00AB7B88">
        <w:rPr>
          <w:rStyle w:val="Bodytext52"/>
          <w:rFonts w:ascii="Times New Roman" w:hAnsi="Times New Roman"/>
          <w:color w:val="000000"/>
          <w:sz w:val="20"/>
          <w:lang w:val="es-AR" w:eastAsia="es-ES_tradnl"/>
        </w:rPr>
        <w:t xml:space="preserve"> se cumplieran en la práctica, a menos que hubiese motivos de peso para no hacerlo y</w:t>
      </w:r>
    </w:p>
    <w:p w14:paraId="5F1DE035" w14:textId="77777777" w:rsidR="003B3957" w:rsidRPr="00AB7B88" w:rsidRDefault="003B3957" w:rsidP="000F1334">
      <w:pPr>
        <w:pStyle w:val="Bodytext1"/>
        <w:numPr>
          <w:ilvl w:val="0"/>
          <w:numId w:val="48"/>
        </w:numPr>
        <w:shd w:val="clear" w:color="auto" w:fill="auto"/>
        <w:tabs>
          <w:tab w:val="left" w:pos="851"/>
        </w:tabs>
        <w:spacing w:before="380" w:line="360" w:lineRule="auto"/>
        <w:ind w:left="522" w:firstLine="0"/>
        <w:rPr>
          <w:sz w:val="20"/>
        </w:rPr>
      </w:pPr>
      <w:r w:rsidRPr="00AB7B88">
        <w:rPr>
          <w:rStyle w:val="Bodytext52"/>
          <w:rFonts w:ascii="Times New Roman" w:hAnsi="Times New Roman"/>
          <w:color w:val="000000"/>
          <w:sz w:val="20"/>
          <w:lang w:eastAsia="es-ES_tradnl"/>
        </w:rPr>
        <w:t>considerando</w:t>
      </w:r>
    </w:p>
    <w:p w14:paraId="182F3164" w14:textId="77777777" w:rsidR="003B3957" w:rsidRPr="00AB7B88" w:rsidRDefault="003B3957" w:rsidP="000F1334">
      <w:pPr>
        <w:pStyle w:val="Bodytext1"/>
        <w:numPr>
          <w:ilvl w:val="0"/>
          <w:numId w:val="49"/>
        </w:numPr>
        <w:shd w:val="clear" w:color="auto" w:fill="auto"/>
        <w:tabs>
          <w:tab w:val="left" w:pos="851"/>
        </w:tabs>
        <w:spacing w:before="380" w:line="360" w:lineRule="auto"/>
        <w:ind w:left="522" w:firstLine="0"/>
        <w:rPr>
          <w:sz w:val="20"/>
          <w:lang w:val="es-AR"/>
        </w:rPr>
      </w:pPr>
      <w:r w:rsidRPr="00AB7B88">
        <w:rPr>
          <w:rStyle w:val="Bodytext52"/>
          <w:rFonts w:ascii="Times New Roman" w:hAnsi="Times New Roman"/>
          <w:color w:val="000000"/>
          <w:sz w:val="20"/>
          <w:lang w:val="es-AR" w:eastAsia="es-ES_tradnl"/>
        </w:rPr>
        <w:t xml:space="preserve">la identidad del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(Miari PTC, de la cual el Sr. Jiwarajka era director el 27 de septiembre de 2012) y</w:t>
      </w:r>
    </w:p>
    <w:p w14:paraId="65867E86" w14:textId="77777777" w:rsidR="003B3957" w:rsidRPr="00AB7B88" w:rsidRDefault="003B3957" w:rsidP="000F1334">
      <w:pPr>
        <w:pStyle w:val="Bodytext1"/>
        <w:numPr>
          <w:ilvl w:val="0"/>
          <w:numId w:val="49"/>
        </w:numPr>
        <w:shd w:val="clear" w:color="auto" w:fill="auto"/>
        <w:tabs>
          <w:tab w:val="left" w:pos="851"/>
        </w:tabs>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el hecho de que el Sr. Agarwal (junio con la Sra. Agarwal) era Protector del </w:t>
      </w:r>
      <w:r w:rsidRPr="00AB7B88">
        <w:rPr>
          <w:rStyle w:val="Bodytext13125pt"/>
          <w:rFonts w:ascii="Times New Roman" w:hAnsi="Times New Roman"/>
          <w:b w:val="0"/>
          <w:smallCaps w:val="0"/>
          <w:color w:val="000000"/>
          <w:sz w:val="20"/>
          <w:lang w:val="es-AR" w:eastAsia="es-ES_tradnl"/>
        </w:rPr>
        <w:t xml:space="preserve">Trust </w:t>
      </w:r>
      <w:r w:rsidRPr="00AB7B88">
        <w:rPr>
          <w:rStyle w:val="Bodytext13125pt"/>
          <w:rFonts w:ascii="Times New Roman" w:hAnsi="Times New Roman"/>
          <w:b w:val="0"/>
          <w:i w:val="0"/>
          <w:smallCaps w:val="0"/>
          <w:color w:val="000000"/>
          <w:sz w:val="20"/>
          <w:lang w:val="es-AR" w:eastAsia="es-ES_tradnl"/>
        </w:rPr>
        <w:t>P.</w:t>
      </w:r>
      <w:r w:rsidRPr="00AB7B88">
        <w:rPr>
          <w:rStyle w:val="Bodytext52"/>
          <w:rFonts w:ascii="Times New Roman" w:hAnsi="Times New Roman"/>
          <w:color w:val="000000"/>
          <w:sz w:val="20"/>
          <w:lang w:val="es-AR" w:eastAsia="es-ES_tradnl"/>
        </w:rPr>
        <w:t xml:space="preserve"> Devi en todo momento;</w:t>
      </w:r>
    </w:p>
    <w:p w14:paraId="73B0D988" w14:textId="77777777" w:rsidR="003B3957" w:rsidRPr="00AB7B88" w:rsidRDefault="003B3957" w:rsidP="00920A6D">
      <w:pPr>
        <w:pStyle w:val="Bodytext1"/>
        <w:shd w:val="clear" w:color="auto" w:fill="auto"/>
        <w:spacing w:before="380" w:line="360" w:lineRule="auto"/>
        <w:ind w:left="520" w:right="20" w:firstLine="0"/>
        <w:jc w:val="both"/>
        <w:rPr>
          <w:sz w:val="20"/>
          <w:lang w:val="es-AR"/>
        </w:rPr>
      </w:pPr>
      <w:r w:rsidRPr="00AB7B88">
        <w:rPr>
          <w:rStyle w:val="Bodytext52"/>
          <w:rFonts w:ascii="Times New Roman" w:hAnsi="Times New Roman"/>
          <w:color w:val="000000"/>
          <w:sz w:val="20"/>
          <w:lang w:val="es-AR" w:eastAsia="es-ES_tradnl"/>
        </w:rPr>
        <w:t>hay incluso menos motivos para imaginar que cualquier persona que no fueran sus hijos tuviera una expectativa realista de obtener un beneficio económico de los bienes no brasileños el 27 de septiembre de 2012</w:t>
      </w:r>
      <w:r w:rsidR="00D84822" w:rsidRPr="00AB7B88">
        <w:rPr>
          <w:rStyle w:val="FootnoteReference"/>
          <w:rFonts w:cs="Palatino Linotype"/>
          <w:color w:val="000000"/>
          <w:sz w:val="20"/>
          <w:szCs w:val="19"/>
          <w:lang w:val="es-AR" w:eastAsia="es-ES_tradnl"/>
        </w:rPr>
        <w:footnoteReference w:id="283"/>
      </w:r>
      <w:r w:rsidRPr="00AB7B88">
        <w:rPr>
          <w:rStyle w:val="Bodytext52"/>
          <w:rFonts w:ascii="Times New Roman" w:hAnsi="Times New Roman"/>
          <w:color w:val="000000"/>
          <w:sz w:val="20"/>
          <w:lang w:val="es-AR" w:eastAsia="es-ES_tradnl"/>
        </w:rPr>
        <w:t>.</w:t>
      </w:r>
    </w:p>
    <w:p w14:paraId="62962419" w14:textId="77777777" w:rsidR="003B3957" w:rsidRPr="00AB7B88" w:rsidRDefault="003B3957" w:rsidP="00B62CDB">
      <w:pPr>
        <w:pStyle w:val="Bodytext1"/>
        <w:numPr>
          <w:ilvl w:val="0"/>
          <w:numId w:val="41"/>
        </w:numPr>
        <w:shd w:val="clear" w:color="auto" w:fill="auto"/>
        <w:tabs>
          <w:tab w:val="left" w:pos="51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Por otra parte, en opinión de la Sra. Reynolds:</w:t>
      </w:r>
    </w:p>
    <w:p w14:paraId="34F3D04A" w14:textId="77777777" w:rsidR="003B3957" w:rsidRPr="00AB7B88" w:rsidRDefault="003B3957" w:rsidP="004717F9">
      <w:pPr>
        <w:pStyle w:val="Bodytext1"/>
        <w:shd w:val="clear" w:color="auto" w:fill="auto"/>
        <w:spacing w:before="0" w:line="360" w:lineRule="auto"/>
        <w:ind w:left="522" w:right="23" w:firstLine="0"/>
        <w:jc w:val="both"/>
        <w:rPr>
          <w:sz w:val="20"/>
          <w:lang w:val="es-AR"/>
        </w:rPr>
      </w:pPr>
      <w:r w:rsidRPr="00AB7B88">
        <w:rPr>
          <w:rStyle w:val="Bodytext52"/>
          <w:rFonts w:ascii="Times New Roman" w:hAnsi="Times New Roman"/>
          <w:color w:val="000000"/>
          <w:sz w:val="20"/>
          <w:lang w:val="es-AR" w:eastAsia="es-ES_tradnl"/>
        </w:rPr>
        <w:t xml:space="preserve">Resulta difícil imaginar cómo podría decirse que los Demandantes son 'titulares de un interés legítimo’ cuando carecían de: (i) titularidad de los bienes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legal, beneficiaría u otra; (ii) derecho de posesión; (iii) derecho de solicitar que los bienes se les transfirieran; (iv) la capacidad de vender o ceder dichos bienes; o (v) derecho de evitar el ejercicio de discrecionalidad a favor de otro beneficiario; y cuando, al menos, hasta el 20 de diciembre de 2012, el Sr. Agarwal tenía el derecho de revocar 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a su exclusivo criterio, un derecho que, según los tribunales, es "equivalente a la titularidad en propiedad</w:t>
      </w:r>
      <w:r w:rsidR="00423B1B" w:rsidRPr="00AB7B88">
        <w:rPr>
          <w:rStyle w:val="FootnoteReference"/>
          <w:rFonts w:cs="Palatino Linotype"/>
          <w:color w:val="000000"/>
          <w:sz w:val="20"/>
          <w:szCs w:val="19"/>
          <w:lang w:val="es-AR" w:eastAsia="es-ES_tradnl"/>
        </w:rPr>
        <w:footnoteReference w:id="284"/>
      </w:r>
      <w:r w:rsidRPr="00AB7B88">
        <w:rPr>
          <w:rStyle w:val="Bodytext52"/>
          <w:rFonts w:ascii="Times New Roman" w:hAnsi="Times New Roman"/>
          <w:color w:val="000000"/>
          <w:sz w:val="20"/>
          <w:lang w:val="es-AR" w:eastAsia="es-ES_tradnl"/>
        </w:rPr>
        <w:t>".</w:t>
      </w:r>
    </w:p>
    <w:p w14:paraId="088A6E5E" w14:textId="77777777" w:rsidR="003B3957" w:rsidRPr="00AB7B88" w:rsidRDefault="003B3957" w:rsidP="000053F7">
      <w:pPr>
        <w:pStyle w:val="Bodytext1"/>
        <w:numPr>
          <w:ilvl w:val="0"/>
          <w:numId w:val="41"/>
        </w:numPr>
        <w:shd w:val="clear" w:color="auto" w:fill="auto"/>
        <w:tabs>
          <w:tab w:val="left" w:pos="514"/>
        </w:tabs>
        <w:spacing w:before="380" w:line="360" w:lineRule="auto"/>
        <w:ind w:left="520"/>
        <w:jc w:val="both"/>
        <w:rPr>
          <w:sz w:val="20"/>
          <w:lang w:val="es-AR"/>
        </w:rPr>
      </w:pPr>
      <w:r w:rsidRPr="00AB7B88">
        <w:rPr>
          <w:rStyle w:val="Bodytext52"/>
          <w:rFonts w:ascii="Times New Roman" w:hAnsi="Times New Roman"/>
          <w:color w:val="000000"/>
          <w:sz w:val="20"/>
          <w:lang w:val="es-AR" w:eastAsia="es-ES_tradnl"/>
        </w:rPr>
        <w:t xml:space="preserve">En opinión de la perita de la Demandada, "la cuestión es si un beneficiario o beneficiarios (y no los </w:t>
      </w:r>
      <w:r w:rsidR="004D2026" w:rsidRPr="00AB7B88">
        <w:rPr>
          <w:rStyle w:val="Bodytext13125pt"/>
          <w:rFonts w:ascii="Times New Roman" w:hAnsi="Times New Roman"/>
          <w:b w:val="0"/>
          <w:bCs w:val="0"/>
          <w:smallCaps w:val="0"/>
          <w:color w:val="000000"/>
          <w:sz w:val="20"/>
          <w:lang w:val="es-AR" w:eastAsia="es-ES_tradnl"/>
        </w:rPr>
        <w:t>Trustees</w:t>
      </w:r>
      <w:r w:rsidRPr="00AB7B88">
        <w:rPr>
          <w:rStyle w:val="Bodytext13125pt"/>
          <w:rFonts w:ascii="Times New Roman" w:hAnsi="Times New Roman"/>
          <w:b w:val="0"/>
          <w:bCs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w:t>
      </w:r>
      <w:r w:rsidRPr="00AB7B88">
        <w:rPr>
          <w:rStyle w:val="Bodytext52"/>
          <w:rFonts w:ascii="Times New Roman" w:hAnsi="Times New Roman"/>
          <w:color w:val="000000"/>
          <w:sz w:val="20"/>
          <w:lang w:val="es-AR" w:eastAsia="es-ES_tradnl"/>
        </w:rPr>
        <w:lastRenderedPageBreak/>
        <w:t>se deben considerar como titulares de un interes legítimo que nunca han estado sujetos a la determinación directa en un contexto de derecho interno de las Islas Caimán’. La frase no es un término técnico en virtud del derecho caimanés y no tiene ningún significado en particular conforme a este</w:t>
      </w:r>
      <w:r w:rsidR="00231902" w:rsidRPr="00AB7B88">
        <w:rPr>
          <w:rStyle w:val="FootnoteReference"/>
          <w:rFonts w:cs="Palatino Linotype"/>
          <w:color w:val="000000"/>
          <w:sz w:val="20"/>
          <w:szCs w:val="19"/>
          <w:lang w:val="es-AR" w:eastAsia="es-ES_tradnl"/>
        </w:rPr>
        <w:footnoteReference w:id="285"/>
      </w:r>
      <w:r w:rsidRPr="00AB7B88">
        <w:rPr>
          <w:rStyle w:val="Bodytext52"/>
          <w:rFonts w:ascii="Times New Roman" w:hAnsi="Times New Roman"/>
          <w:color w:val="000000"/>
          <w:sz w:val="20"/>
          <w:lang w:val="es-AR" w:eastAsia="es-ES_tradnl"/>
        </w:rPr>
        <w:t>".</w:t>
      </w:r>
    </w:p>
    <w:p w14:paraId="41B8CA90" w14:textId="77777777" w:rsidR="003B3957" w:rsidRPr="00AB7B88" w:rsidRDefault="003B3957" w:rsidP="000053F7">
      <w:pPr>
        <w:pStyle w:val="Bodytext1"/>
        <w:numPr>
          <w:ilvl w:val="0"/>
          <w:numId w:val="41"/>
        </w:numPr>
        <w:shd w:val="clear" w:color="auto" w:fill="auto"/>
        <w:tabs>
          <w:tab w:val="left" w:pos="514"/>
        </w:tabs>
        <w:spacing w:before="380" w:line="360" w:lineRule="auto"/>
        <w:ind w:left="520"/>
        <w:jc w:val="both"/>
        <w:rPr>
          <w:sz w:val="20"/>
          <w:lang w:val="es-AR"/>
        </w:rPr>
      </w:pPr>
      <w:r w:rsidRPr="00AB7B88">
        <w:rPr>
          <w:rStyle w:val="Bodytext52"/>
          <w:rFonts w:ascii="Times New Roman" w:hAnsi="Times New Roman"/>
          <w:color w:val="000000"/>
          <w:sz w:val="20"/>
          <w:lang w:val="es-AR" w:eastAsia="es-ES_tradnl"/>
        </w:rPr>
        <w:t xml:space="preserve">El Sr. Green, en su dictamen, explicó que los </w:t>
      </w:r>
      <w:r w:rsidRPr="00AB7B88">
        <w:rPr>
          <w:rStyle w:val="Bodytext13125pt"/>
          <w:rFonts w:ascii="Times New Roman" w:hAnsi="Times New Roman"/>
          <w:b w:val="0"/>
          <w:bCs w:val="0"/>
          <w:smallCaps w:val="0"/>
          <w:color w:val="000000"/>
          <w:sz w:val="20"/>
          <w:lang w:val="es-AR" w:eastAsia="es-ES_tradnl"/>
        </w:rPr>
        <w:t>discretionary beneficiaries,</w:t>
      </w:r>
      <w:r w:rsidRPr="00AB7B88">
        <w:rPr>
          <w:rStyle w:val="Bodytext52"/>
          <w:rFonts w:ascii="Times New Roman" w:hAnsi="Times New Roman"/>
          <w:color w:val="000000"/>
          <w:sz w:val="20"/>
          <w:lang w:val="es-AR" w:eastAsia="es-ES_tradnl"/>
        </w:rPr>
        <w:t xml:space="preserve"> incluso si no son los </w:t>
      </w:r>
      <w:r w:rsidRPr="00AB7B88">
        <w:rPr>
          <w:rStyle w:val="Bodytext13125pt"/>
          <w:rFonts w:ascii="Times New Roman" w:hAnsi="Times New Roman"/>
          <w:b w:val="0"/>
          <w:bCs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de los bienes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al que tienen derecho:</w:t>
      </w:r>
    </w:p>
    <w:p w14:paraId="693FDBEA" w14:textId="77777777" w:rsidR="003B3957" w:rsidRPr="00AB7B88" w:rsidRDefault="003B3957" w:rsidP="00920A6D">
      <w:pPr>
        <w:pStyle w:val="Bodytext1"/>
        <w:shd w:val="clear" w:color="auto" w:fill="auto"/>
        <w:spacing w:before="380" w:line="360" w:lineRule="auto"/>
        <w:ind w:left="520" w:right="20" w:firstLine="0"/>
        <w:jc w:val="both"/>
        <w:rPr>
          <w:sz w:val="20"/>
          <w:lang w:val="es-AR"/>
        </w:rPr>
      </w:pPr>
      <w:r w:rsidRPr="00AB7B88">
        <w:rPr>
          <w:rStyle w:val="Bodytext52"/>
          <w:rFonts w:ascii="Times New Roman" w:hAnsi="Times New Roman"/>
          <w:color w:val="000000"/>
          <w:sz w:val="20"/>
          <w:lang w:val="es-AR" w:eastAsia="es-ES_tradnl"/>
        </w:rPr>
        <w:t xml:space="preserve">[...] tienen un interés patrimonial sobre dichos bienes en un sentido más amplio. Tienen un interés económico o financiero en cómo se administran dichos bienes y en si están debidamente protegidos, aplicados o ejecutados, y la legislación de </w:t>
      </w:r>
      <w:r w:rsidR="004D2026" w:rsidRPr="00AB7B88">
        <w:rPr>
          <w:rStyle w:val="Bodytext13125pt"/>
          <w:rFonts w:ascii="Times New Roman" w:hAnsi="Times New Roman"/>
          <w:b w:val="0"/>
          <w:bCs w:val="0"/>
          <w:smallCaps w:val="0"/>
          <w:color w:val="000000"/>
          <w:sz w:val="20"/>
          <w:lang w:val="es-AR" w:eastAsia="es-ES_tradnl"/>
        </w:rPr>
        <w:t>Trusts</w:t>
      </w:r>
      <w:r w:rsidRPr="00AB7B88">
        <w:rPr>
          <w:rStyle w:val="Bodytext52"/>
          <w:rFonts w:ascii="Times New Roman" w:hAnsi="Times New Roman"/>
          <w:color w:val="000000"/>
          <w:sz w:val="20"/>
          <w:lang w:val="es-AR" w:eastAsia="es-ES_tradnl"/>
        </w:rPr>
        <w:t xml:space="preserve"> de las Islas Caimán reconoce dichos intereses en carácter de derechos ejercitables respecto de la totalidad de los bienes en el </w:t>
      </w:r>
      <w:r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independientemente de que los </w:t>
      </w:r>
      <w:r w:rsidR="004D2026" w:rsidRPr="00AB7B88">
        <w:rPr>
          <w:rStyle w:val="Bodytext13125pt"/>
          <w:rFonts w:ascii="Times New Roman" w:hAnsi="Times New Roman"/>
          <w:b w:val="0"/>
          <w:bCs w:val="0"/>
          <w:smallCaps w:val="0"/>
          <w:color w:val="000000"/>
          <w:sz w:val="20"/>
          <w:lang w:val="es-AR" w:eastAsia="es-ES_tradnl"/>
        </w:rPr>
        <w:t>Trustees</w:t>
      </w:r>
      <w:r w:rsidRPr="00AB7B88">
        <w:rPr>
          <w:rStyle w:val="Bodytext52"/>
          <w:rFonts w:ascii="Times New Roman" w:hAnsi="Times New Roman"/>
          <w:b/>
          <w:bCs/>
          <w:color w:val="000000"/>
          <w:sz w:val="20"/>
          <w:lang w:val="es-AR" w:eastAsia="es-ES_tradnl"/>
        </w:rPr>
        <w:t xml:space="preserve"> </w:t>
      </w:r>
      <w:r w:rsidRPr="00AB7B88">
        <w:rPr>
          <w:rStyle w:val="Bodytext52"/>
          <w:rFonts w:ascii="Times New Roman" w:hAnsi="Times New Roman"/>
          <w:color w:val="000000"/>
          <w:sz w:val="20"/>
          <w:lang w:val="es-AR" w:eastAsia="es-ES_tradnl"/>
        </w:rPr>
        <w:t>no hayan ejercido la discreción a su favor</w:t>
      </w:r>
      <w:r w:rsidRPr="00AB7B88">
        <w:rPr>
          <w:rStyle w:val="Bodytext52"/>
          <w:rFonts w:ascii="Times New Roman" w:hAnsi="Times New Roman"/>
          <w:color w:val="000000"/>
          <w:sz w:val="20"/>
          <w:vertAlign w:val="superscript"/>
          <w:lang w:eastAsia="es-ES_tradnl"/>
        </w:rPr>
        <w:footnoteReference w:id="286"/>
      </w:r>
      <w:r w:rsidRPr="00AB7B88">
        <w:rPr>
          <w:rStyle w:val="Bodytext52"/>
          <w:rFonts w:ascii="Times New Roman" w:hAnsi="Times New Roman"/>
          <w:color w:val="000000"/>
          <w:sz w:val="20"/>
          <w:lang w:val="es-AR" w:eastAsia="es-ES_tradnl"/>
        </w:rPr>
        <w:t>.</w:t>
      </w:r>
    </w:p>
    <w:p w14:paraId="51E48589" w14:textId="77777777" w:rsidR="003B3957" w:rsidRPr="00AB7B88" w:rsidRDefault="003B3957" w:rsidP="000053F7">
      <w:pPr>
        <w:pStyle w:val="Bodytext1"/>
        <w:numPr>
          <w:ilvl w:val="0"/>
          <w:numId w:val="41"/>
        </w:numPr>
        <w:shd w:val="clear" w:color="auto" w:fill="auto"/>
        <w:tabs>
          <w:tab w:val="left" w:pos="514"/>
        </w:tabs>
        <w:spacing w:before="380" w:line="360" w:lineRule="auto"/>
        <w:ind w:left="520"/>
        <w:jc w:val="both"/>
        <w:rPr>
          <w:sz w:val="20"/>
          <w:lang w:val="es-AR"/>
        </w:rPr>
      </w:pPr>
      <w:r w:rsidRPr="00AB7B88">
        <w:rPr>
          <w:rStyle w:val="Bodytext52"/>
          <w:rFonts w:ascii="Times New Roman" w:hAnsi="Times New Roman"/>
          <w:color w:val="000000"/>
          <w:sz w:val="20"/>
          <w:lang w:val="es-AR" w:eastAsia="es-ES_tradnl"/>
        </w:rPr>
        <w:t>En palabras del Sr. Creen:</w:t>
      </w:r>
    </w:p>
    <w:p w14:paraId="46E3B754" w14:textId="77777777" w:rsidR="003B3957" w:rsidRPr="00AB7B88" w:rsidRDefault="003B3957" w:rsidP="00EA3A09">
      <w:pPr>
        <w:pStyle w:val="Bodytext1"/>
        <w:shd w:val="clear" w:color="auto" w:fill="auto"/>
        <w:spacing w:before="0" w:line="360" w:lineRule="auto"/>
        <w:ind w:left="522" w:right="23" w:firstLine="0"/>
        <w:jc w:val="both"/>
        <w:rPr>
          <w:sz w:val="20"/>
          <w:lang w:val="es-AR"/>
        </w:rPr>
      </w:pPr>
      <w:r w:rsidRPr="00AB7B88">
        <w:rPr>
          <w:rStyle w:val="Bodytext52"/>
          <w:rFonts w:ascii="Times New Roman" w:hAnsi="Times New Roman"/>
          <w:color w:val="000000"/>
          <w:sz w:val="20"/>
          <w:lang w:val="es-AR" w:eastAsia="es-ES_tradnl"/>
        </w:rPr>
        <w:t>[e]s la totalidad del fondo del [</w:t>
      </w:r>
      <w:r w:rsidRPr="00AB7B88">
        <w:rPr>
          <w:rStyle w:val="Bodytext52"/>
          <w:rFonts w:ascii="Times New Roman" w:hAnsi="Times New Roman"/>
          <w:i/>
          <w:color w:val="000000"/>
          <w:sz w:val="20"/>
          <w:lang w:val="es-AR" w:eastAsia="es-ES_tradnl"/>
        </w:rPr>
        <w:t>trust</w:t>
      </w:r>
      <w:r w:rsidRPr="00AB7B88">
        <w:rPr>
          <w:rStyle w:val="Bodytext52"/>
          <w:rFonts w:ascii="Times New Roman" w:hAnsi="Times New Roman"/>
          <w:color w:val="000000"/>
          <w:sz w:val="20"/>
          <w:lang w:val="es-AR" w:eastAsia="es-ES_tradnl"/>
        </w:rPr>
        <w:t xml:space="preserve">] lo que un </w:t>
      </w:r>
      <w:r w:rsidRPr="00AB7B88">
        <w:rPr>
          <w:rStyle w:val="Bodytext13125pt"/>
          <w:rFonts w:ascii="Times New Roman" w:hAnsi="Times New Roman"/>
          <w:b w:val="0"/>
          <w:smallCaps w:val="0"/>
          <w:color w:val="000000"/>
          <w:sz w:val="20"/>
          <w:lang w:val="es-AR" w:eastAsia="es-ES_tradnl"/>
        </w:rPr>
        <w:t>discretionarybeneficiary</w:t>
      </w:r>
      <w:r w:rsidRPr="00AB7B88">
        <w:rPr>
          <w:rStyle w:val="Bodytext52"/>
          <w:rFonts w:ascii="Times New Roman" w:hAnsi="Times New Roman"/>
          <w:color w:val="000000"/>
          <w:sz w:val="20"/>
          <w:lang w:val="es-AR" w:eastAsia="es-ES_tradnl"/>
        </w:rPr>
        <w:t xml:space="preserve"> tiene derecho a esperar y respecto de lo cual tiene derecho a requerir que se constituya y administre de manera apropiada (y, si las circunstancias lo ameritan, que se lo remedie), incluso con el fin de que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52"/>
          <w:rFonts w:ascii="Times New Roman" w:hAnsi="Times New Roman"/>
          <w:color w:val="000000"/>
          <w:sz w:val="20"/>
          <w:lang w:val="es-AR" w:eastAsia="es-ES_tradnl"/>
        </w:rPr>
        <w:t xml:space="preserve"> cumplan correctamente su obligación fiduciaria de considerar una distribución a favor de dicho beneficiario. En resumen, un </w:t>
      </w:r>
      <w:r w:rsidRPr="00AB7B88">
        <w:rPr>
          <w:rStyle w:val="Bodytext13125pt"/>
          <w:rFonts w:ascii="Times New Roman" w:hAnsi="Times New Roman"/>
          <w:b w:val="0"/>
          <w:smallCaps w:val="0"/>
          <w:color w:val="000000"/>
          <w:sz w:val="20"/>
          <w:lang w:val="es-AR" w:eastAsia="es-ES_tradnl"/>
        </w:rPr>
        <w:t>discretionarybeneficiary,</w:t>
      </w:r>
      <w:r w:rsidRPr="00AB7B88">
        <w:rPr>
          <w:rStyle w:val="Bodytext52"/>
          <w:rFonts w:ascii="Times New Roman" w:hAnsi="Times New Roman"/>
          <w:color w:val="000000"/>
          <w:sz w:val="20"/>
          <w:lang w:val="es-AR" w:eastAsia="es-ES_tradnl"/>
        </w:rPr>
        <w:t xml:space="preserve"> no menos que cualquier otro beneficiario de un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de las Islas Caimán, es en pleno sentido un beneficiario. Lo que simplemente ocurre es que el interés de dicho beneficiario en un momento determinado tiene sus características particulares [... ]</w:t>
      </w:r>
      <w:r w:rsidR="008E73C9" w:rsidRPr="00AB7B88">
        <w:rPr>
          <w:rStyle w:val="FootnoteReference"/>
          <w:rFonts w:cs="Palatino Linotype"/>
          <w:color w:val="000000"/>
          <w:sz w:val="20"/>
          <w:szCs w:val="19"/>
          <w:lang w:val="es-AR" w:eastAsia="es-ES_tradnl"/>
        </w:rPr>
        <w:footnoteReference w:id="287"/>
      </w:r>
    </w:p>
    <w:p w14:paraId="28FCF433" w14:textId="77777777" w:rsidR="003B3957" w:rsidRPr="00AB7B88" w:rsidRDefault="003B3957" w:rsidP="000053F7">
      <w:pPr>
        <w:pStyle w:val="Bodytext1"/>
        <w:numPr>
          <w:ilvl w:val="0"/>
          <w:numId w:val="41"/>
        </w:numPr>
        <w:shd w:val="clear" w:color="auto" w:fill="auto"/>
        <w:tabs>
          <w:tab w:val="left" w:pos="514"/>
        </w:tabs>
        <w:spacing w:before="380" w:line="360" w:lineRule="auto"/>
        <w:ind w:left="520"/>
        <w:jc w:val="both"/>
        <w:rPr>
          <w:sz w:val="20"/>
          <w:lang w:val="es-AR"/>
        </w:rPr>
      </w:pPr>
      <w:r w:rsidRPr="00AB7B88">
        <w:rPr>
          <w:rStyle w:val="Bodytext52"/>
          <w:rFonts w:ascii="Times New Roman" w:hAnsi="Times New Roman"/>
          <w:color w:val="000000"/>
          <w:sz w:val="20"/>
          <w:lang w:val="es-AR" w:eastAsia="es-ES_tradnl"/>
        </w:rPr>
        <w:t xml:space="preserve">Los derechos a los que hace referencia el Sr. Creen garantizan la administración adecuada del </w:t>
      </w:r>
      <w:r w:rsidRPr="00AB7B88">
        <w:rPr>
          <w:rStyle w:val="Bodytext13125pt"/>
          <w:rFonts w:ascii="Times New Roman" w:hAnsi="Times New Roman"/>
          <w:b w:val="0"/>
          <w:smallCaps w:val="0"/>
          <w:color w:val="000000"/>
          <w:sz w:val="20"/>
          <w:lang w:val="es-AR" w:eastAsia="es-ES_tradnl"/>
        </w:rPr>
        <w:t xml:space="preserve">trust, </w:t>
      </w:r>
      <w:r w:rsidRPr="00AB7B88">
        <w:rPr>
          <w:rStyle w:val="Bodytext52"/>
          <w:rFonts w:ascii="Times New Roman" w:hAnsi="Times New Roman"/>
          <w:color w:val="000000"/>
          <w:sz w:val="20"/>
          <w:lang w:val="es-AR" w:eastAsia="es-ES_tradnl"/>
        </w:rPr>
        <w:t xml:space="preserve">derechos que serían compartidos por todos los beneficiarios pero que no constituyen un interés en la propiedad misma. Cualquier propiedad recuperada por medio de una demanda planteada por un beneficiario de un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volvería al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El interés en la propiedad en sentido más amplio no se traduce en ningún derecho específico respecto de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El argumento del interés patrimonial parece forzado a la luz de la opinión del Sr. Green que los </w:t>
      </w:r>
      <w:r w:rsidRPr="00AB7B88">
        <w:rPr>
          <w:rStyle w:val="Bodytext13125pt"/>
          <w:rFonts w:ascii="Times New Roman" w:hAnsi="Times New Roman"/>
          <w:b w:val="0"/>
          <w:smallCaps w:val="0"/>
          <w:color w:val="000000"/>
          <w:sz w:val="20"/>
          <w:lang w:val="es-AR" w:eastAsia="es-ES_tradnl"/>
        </w:rPr>
        <w:t xml:space="preserve">discretionarybeneficiarles </w:t>
      </w:r>
      <w:r w:rsidRPr="00AB7B88">
        <w:rPr>
          <w:rStyle w:val="Bodytext52"/>
          <w:rFonts w:ascii="Times New Roman" w:hAnsi="Times New Roman"/>
          <w:color w:val="000000"/>
          <w:sz w:val="20"/>
          <w:lang w:val="es-AR" w:eastAsia="es-ES_tradnl"/>
        </w:rPr>
        <w:t xml:space="preserve">no son </w:t>
      </w:r>
      <w:r w:rsidRPr="00AB7B88">
        <w:rPr>
          <w:rStyle w:val="Bodytext13125pt"/>
          <w:rFonts w:ascii="Times New Roman" w:hAnsi="Times New Roman"/>
          <w:b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ni tienen un </w:t>
      </w:r>
      <w:r w:rsidRPr="00AB7B88">
        <w:rPr>
          <w:rStyle w:val="Bodytext13125pt"/>
          <w:rFonts w:ascii="Times New Roman" w:hAnsi="Times New Roman"/>
          <w:b w:val="0"/>
          <w:smallCaps w:val="0"/>
          <w:color w:val="000000"/>
          <w:sz w:val="20"/>
          <w:lang w:val="es-AR" w:eastAsia="es-ES_tradnl"/>
        </w:rPr>
        <w:t>beneficial interest</w:t>
      </w:r>
      <w:r w:rsidRPr="00AB7B88">
        <w:rPr>
          <w:rStyle w:val="Bodytext52"/>
          <w:rFonts w:ascii="Times New Roman" w:hAnsi="Times New Roman"/>
          <w:color w:val="000000"/>
          <w:sz w:val="20"/>
          <w:lang w:val="es-AR" w:eastAsia="es-ES_tradnl"/>
        </w:rPr>
        <w:t xml:space="preserve"> en los bienes del </w:t>
      </w:r>
      <w:r w:rsidRPr="00AB7B88">
        <w:rPr>
          <w:rStyle w:val="Bodytext52"/>
          <w:rFonts w:ascii="Times New Roman" w:hAnsi="Times New Roman"/>
          <w:i/>
          <w:color w:val="000000"/>
          <w:sz w:val="20"/>
          <w:lang w:val="es-AR" w:eastAsia="es-ES_tradnl"/>
        </w:rPr>
        <w:t>trust</w:t>
      </w:r>
      <w:r w:rsidR="00A70018" w:rsidRPr="00AB7B88">
        <w:rPr>
          <w:rStyle w:val="FootnoteReference"/>
          <w:rFonts w:cs="Palatino Linotype"/>
          <w:i/>
          <w:color w:val="000000"/>
          <w:sz w:val="20"/>
          <w:szCs w:val="19"/>
          <w:lang w:val="es-AR" w:eastAsia="es-ES_tradnl"/>
        </w:rPr>
        <w:footnoteReference w:id="288"/>
      </w:r>
      <w:r w:rsidRPr="00AB7B88">
        <w:rPr>
          <w:rStyle w:val="Bodytext52"/>
          <w:rFonts w:ascii="Times New Roman" w:hAnsi="Times New Roman"/>
          <w:color w:val="000000"/>
          <w:sz w:val="20"/>
          <w:lang w:val="es-AR" w:eastAsia="es-ES_tradnl"/>
        </w:rPr>
        <w:t>.</w:t>
      </w:r>
    </w:p>
    <w:p w14:paraId="0B310479" w14:textId="77777777" w:rsidR="003B3957" w:rsidRPr="00AB7B88" w:rsidRDefault="003B3957" w:rsidP="000053F7">
      <w:pPr>
        <w:pStyle w:val="Bodytext1"/>
        <w:numPr>
          <w:ilvl w:val="0"/>
          <w:numId w:val="41"/>
        </w:numPr>
        <w:shd w:val="clear" w:color="auto" w:fill="auto"/>
        <w:tabs>
          <w:tab w:val="left" w:pos="518"/>
        </w:tabs>
        <w:spacing w:before="380" w:line="360" w:lineRule="auto"/>
        <w:ind w:left="520"/>
        <w:jc w:val="both"/>
        <w:rPr>
          <w:sz w:val="20"/>
          <w:lang w:val="es-AR"/>
        </w:rPr>
      </w:pPr>
      <w:r w:rsidRPr="00AB7B88">
        <w:rPr>
          <w:rStyle w:val="Bodytext52"/>
          <w:rFonts w:ascii="Times New Roman" w:hAnsi="Times New Roman"/>
          <w:color w:val="000000"/>
          <w:sz w:val="20"/>
          <w:lang w:val="es-AR" w:eastAsia="es-ES_tradnl"/>
        </w:rPr>
        <w:t xml:space="preserve">¿Tuvo alguna importancia la Carta de Deseos para reducir la discrecionalidad del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Según la Sra. Reynolds, la Carta de Deseos:</w:t>
      </w:r>
    </w:p>
    <w:p w14:paraId="7285556B" w14:textId="77777777" w:rsidR="003B3957" w:rsidRPr="00AB7B88" w:rsidRDefault="003B3957" w:rsidP="000053F7">
      <w:pPr>
        <w:pStyle w:val="Bodytext1"/>
        <w:numPr>
          <w:ilvl w:val="0"/>
          <w:numId w:val="50"/>
        </w:numPr>
        <w:shd w:val="clear" w:color="auto" w:fill="auto"/>
        <w:tabs>
          <w:tab w:val="left" w:pos="784"/>
        </w:tabs>
        <w:spacing w:before="380" w:line="360" w:lineRule="auto"/>
        <w:ind w:left="520" w:right="20" w:firstLine="0"/>
        <w:jc w:val="both"/>
        <w:rPr>
          <w:sz w:val="20"/>
          <w:lang w:val="es-AR"/>
        </w:rPr>
      </w:pPr>
      <w:r w:rsidRPr="00AB7B88">
        <w:rPr>
          <w:rStyle w:val="Bodytext52"/>
          <w:rFonts w:ascii="Times New Roman" w:hAnsi="Times New Roman"/>
          <w:color w:val="000000"/>
          <w:sz w:val="20"/>
          <w:lang w:val="es-AR" w:eastAsia="es-ES_tradnl"/>
        </w:rPr>
        <w:lastRenderedPageBreak/>
        <w:t xml:space="preserve">no les otorga a los Demandantes ningún interés de una calidad diferente ni ningún derecho a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más que el que hubieran tenido de otra forma en virtud de los términos de la Escritura del </w:t>
      </w:r>
      <w:r w:rsidRPr="00AB7B88">
        <w:rPr>
          <w:rStyle w:val="Bodytext13125pt"/>
          <w:rFonts w:ascii="Times New Roman" w:hAnsi="Times New Roman"/>
          <w:b w:val="0"/>
          <w:smallCaps w:val="0"/>
          <w:color w:val="000000"/>
          <w:sz w:val="20"/>
          <w:lang w:val="es-AR" w:eastAsia="es-ES_tradnl"/>
        </w:rPr>
        <w:t>Trust;</w:t>
      </w:r>
    </w:p>
    <w:p w14:paraId="002AE44F" w14:textId="77777777" w:rsidR="003B3957" w:rsidRPr="00AB7B88" w:rsidRDefault="003B3957" w:rsidP="000053F7">
      <w:pPr>
        <w:pStyle w:val="Bodytext1"/>
        <w:numPr>
          <w:ilvl w:val="0"/>
          <w:numId w:val="50"/>
        </w:numPr>
        <w:shd w:val="clear" w:color="auto" w:fill="auto"/>
        <w:tabs>
          <w:tab w:val="left" w:pos="832"/>
        </w:tabs>
        <w:spacing w:before="380" w:line="360" w:lineRule="auto"/>
        <w:ind w:left="520" w:right="20" w:firstLine="0"/>
        <w:jc w:val="both"/>
        <w:rPr>
          <w:sz w:val="20"/>
          <w:lang w:val="es-AR"/>
        </w:rPr>
      </w:pPr>
      <w:r w:rsidRPr="00AB7B88">
        <w:rPr>
          <w:rStyle w:val="Bodytext52"/>
          <w:rFonts w:ascii="Times New Roman" w:hAnsi="Times New Roman"/>
          <w:color w:val="000000"/>
          <w:sz w:val="20"/>
          <w:lang w:val="es-AR" w:eastAsia="es-ES_tradnl"/>
        </w:rPr>
        <w:t xml:space="preserve">indicó los deseos no vinculantes del </w:t>
      </w:r>
      <w:r w:rsidRPr="00AB7B88">
        <w:rPr>
          <w:rStyle w:val="Bodytext13125pt"/>
          <w:rFonts w:ascii="Times New Roman" w:hAnsi="Times New Roman"/>
          <w:b w:val="0"/>
          <w:smallCaps w:val="0"/>
          <w:color w:val="000000"/>
          <w:sz w:val="20"/>
          <w:lang w:val="es-AR" w:eastAsia="es-ES_tradnl"/>
        </w:rPr>
        <w:t>Settlor</w:t>
      </w:r>
      <w:r w:rsidRPr="00AB7B88">
        <w:rPr>
          <w:rStyle w:val="Bodytext52"/>
          <w:rFonts w:ascii="Times New Roman" w:hAnsi="Times New Roman"/>
          <w:color w:val="000000"/>
          <w:sz w:val="20"/>
          <w:lang w:val="es-AR" w:eastAsia="es-ES_tradnl"/>
        </w:rPr>
        <w:t xml:space="preserve"> solo en lo que respecta a la distribución del capital en el caso de un evento de liquidez y no era, de otra forma, relevante para el ejercicio de la discrecionalidad del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13125pt"/>
          <w:rFonts w:ascii="Times New Roman" w:hAnsi="Times New Roman"/>
          <w:b w:val="0"/>
          <w:smallCaps w:val="0"/>
          <w:color w:val="000000"/>
          <w:sz w:val="20"/>
          <w:lang w:val="es-AR" w:eastAsia="es-ES_tradnl"/>
        </w:rPr>
        <w:t>;</w:t>
      </w:r>
    </w:p>
    <w:p w14:paraId="088556B0" w14:textId="77777777" w:rsidR="003B3957" w:rsidRPr="00AB7B88" w:rsidRDefault="003B3957" w:rsidP="000053F7">
      <w:pPr>
        <w:pStyle w:val="Bodytext1"/>
        <w:numPr>
          <w:ilvl w:val="0"/>
          <w:numId w:val="50"/>
        </w:numPr>
        <w:shd w:val="clear" w:color="auto" w:fill="auto"/>
        <w:tabs>
          <w:tab w:val="left" w:pos="923"/>
        </w:tabs>
        <w:spacing w:before="380" w:line="360" w:lineRule="auto"/>
        <w:ind w:left="520" w:right="20" w:firstLine="0"/>
        <w:jc w:val="both"/>
        <w:rPr>
          <w:sz w:val="20"/>
          <w:lang w:val="es-AR"/>
        </w:rPr>
      </w:pPr>
      <w:r w:rsidRPr="00AB7B88">
        <w:rPr>
          <w:rStyle w:val="Bodytext52"/>
          <w:rFonts w:ascii="Times New Roman" w:hAnsi="Times New Roman"/>
          <w:color w:val="000000"/>
          <w:sz w:val="20"/>
          <w:lang w:val="es-AR" w:eastAsia="es-ES_tradnl"/>
        </w:rPr>
        <w:t xml:space="preserve">en lo que fuera relevante, y se si lo hubieran presentado, es solo uno de los factores que el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hubiera estado obligado a considerar en el ejercicio de sus deberes fiduciarios. El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hubiera estado obligado a considerar todas las cuestiones relevantes incluidas las circunstancias cambiantes y las necesidades de todos los Beneficiarios, así como las consecuencias fiscales de una distribución de fondos, y descartar todas las cuestiones no relevantes </w:t>
      </w:r>
      <w:r w:rsidR="001643DD" w:rsidRPr="00AB7B88">
        <w:rPr>
          <w:rStyle w:val="FootnoteReference"/>
          <w:rFonts w:cs="Palatino Linotype"/>
          <w:color w:val="000000"/>
          <w:sz w:val="20"/>
          <w:szCs w:val="19"/>
          <w:lang w:val="es-AR" w:eastAsia="es-ES_tradnl"/>
        </w:rPr>
        <w:footnoteReference w:id="289"/>
      </w:r>
      <w:r w:rsidRPr="00AB7B88">
        <w:rPr>
          <w:rStyle w:val="Bodytext52"/>
          <w:rFonts w:ascii="Times New Roman" w:hAnsi="Times New Roman"/>
          <w:color w:val="000000"/>
          <w:sz w:val="20"/>
          <w:lang w:val="es-AR" w:eastAsia="es-ES_tradnl"/>
        </w:rPr>
        <w:t>[...]</w:t>
      </w:r>
    </w:p>
    <w:p w14:paraId="7E5B42F3" w14:textId="77777777" w:rsidR="003B3957" w:rsidRPr="00AB7B88" w:rsidRDefault="003B3957" w:rsidP="000053F7">
      <w:pPr>
        <w:pStyle w:val="Bodytext1"/>
        <w:numPr>
          <w:ilvl w:val="0"/>
          <w:numId w:val="41"/>
        </w:numPr>
        <w:shd w:val="clear" w:color="auto" w:fill="auto"/>
        <w:tabs>
          <w:tab w:val="left" w:pos="514"/>
        </w:tabs>
        <w:spacing w:before="380" w:line="360" w:lineRule="auto"/>
        <w:ind w:left="520"/>
        <w:jc w:val="both"/>
        <w:rPr>
          <w:sz w:val="20"/>
          <w:lang w:val="es-AR"/>
        </w:rPr>
      </w:pPr>
      <w:r w:rsidRPr="00AB7B88">
        <w:rPr>
          <w:rStyle w:val="Bodytext52"/>
          <w:rFonts w:ascii="Times New Roman" w:hAnsi="Times New Roman"/>
          <w:color w:val="000000"/>
          <w:sz w:val="20"/>
          <w:lang w:val="es-AR" w:eastAsia="es-ES_tradnl"/>
        </w:rPr>
        <w:t xml:space="preserve">El Sr. Green concuerda con que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52"/>
          <w:rFonts w:ascii="Times New Roman" w:hAnsi="Times New Roman"/>
          <w:color w:val="000000"/>
          <w:sz w:val="20"/>
          <w:lang w:val="es-AR" w:eastAsia="es-ES_tradnl"/>
        </w:rPr>
        <w:t xml:space="preserve"> están obligados a tener en cuenta una carta de deseos: "[s]e deriva delhecho de que los deseos del </w:t>
      </w:r>
      <w:r w:rsidRPr="00AB7B88">
        <w:rPr>
          <w:rStyle w:val="Bodytext13125pt"/>
          <w:rFonts w:ascii="Times New Roman" w:hAnsi="Times New Roman"/>
          <w:b w:val="0"/>
          <w:smallCaps w:val="0"/>
          <w:color w:val="000000"/>
          <w:sz w:val="20"/>
          <w:lang w:val="es-AR" w:eastAsia="es-ES_tradnl"/>
        </w:rPr>
        <w:t>settlor</w:t>
      </w:r>
      <w:r w:rsidRPr="00AB7B88">
        <w:rPr>
          <w:rStyle w:val="Bodytext52"/>
          <w:rFonts w:ascii="Times New Roman" w:hAnsi="Times New Roman"/>
          <w:color w:val="000000"/>
          <w:sz w:val="20"/>
          <w:lang w:val="es-AR" w:eastAsia="es-ES_tradnl"/>
        </w:rPr>
        <w:t xml:space="preserve"> siempre serán una consideración relevante según las más altas autoridades, y cuando se trata del ejercicio de sus discreciones fiduciarias,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tienen la obligación de tomar en cuenta consideraciones relevantes</w:t>
      </w:r>
      <w:r w:rsidR="001643DD" w:rsidRPr="00AB7B88">
        <w:rPr>
          <w:rStyle w:val="Bodytext52"/>
          <w:rFonts w:ascii="Times New Roman" w:hAnsi="Times New Roman"/>
          <w:color w:val="000000"/>
          <w:sz w:val="20"/>
          <w:lang w:val="es-AR" w:eastAsia="es-ES_tradnl"/>
        </w:rPr>
        <w:t xml:space="preserve"> </w:t>
      </w:r>
      <w:r w:rsidR="001643DD" w:rsidRPr="00AB7B88">
        <w:rPr>
          <w:rStyle w:val="FootnoteReference"/>
          <w:rFonts w:cs="Palatino Linotype"/>
          <w:color w:val="000000"/>
          <w:sz w:val="20"/>
          <w:szCs w:val="19"/>
          <w:lang w:val="es-AR" w:eastAsia="es-ES_tradnl"/>
        </w:rPr>
        <w:footnoteReference w:id="290"/>
      </w:r>
      <w:r w:rsidRPr="00AB7B88">
        <w:rPr>
          <w:rStyle w:val="Bodytext52"/>
          <w:rFonts w:ascii="Times New Roman" w:hAnsi="Times New Roman"/>
          <w:color w:val="000000"/>
          <w:sz w:val="20"/>
          <w:lang w:val="es-AR" w:eastAsia="es-ES_tradnl"/>
        </w:rPr>
        <w:t xml:space="preserve">". Asimismo, el Sr. Green opina que "está claro que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52"/>
          <w:rFonts w:ascii="Times New Roman" w:hAnsi="Times New Roman"/>
          <w:color w:val="000000"/>
          <w:sz w:val="20"/>
          <w:lang w:val="es-AR" w:eastAsia="es-ES_tradnl"/>
        </w:rPr>
        <w:t xml:space="preserve"> tienen el deber de considerarla, incluso si deben o no apartarse de ella, y el consejo que siempre he dado es que, salvo que exista una buena razón para apartarse de ella (si la carta ha quedado superada por acontecimientos posteriores, o si no se la debe considerar por alguna otra razón), se esperaría que se la observe </w:t>
      </w:r>
      <w:r w:rsidR="001B6344" w:rsidRPr="00AB7B88">
        <w:rPr>
          <w:rStyle w:val="FootnoteReference"/>
          <w:rFonts w:cs="Palatino Linotype"/>
          <w:color w:val="000000"/>
          <w:sz w:val="20"/>
          <w:szCs w:val="19"/>
          <w:lang w:val="es-AR" w:eastAsia="es-ES_tradnl"/>
        </w:rPr>
        <w:footnoteReference w:id="291"/>
      </w:r>
      <w:r w:rsidRPr="00AB7B88">
        <w:rPr>
          <w:rStyle w:val="Bodytext52"/>
          <w:rFonts w:ascii="Times New Roman" w:hAnsi="Times New Roman"/>
          <w:color w:val="000000"/>
          <w:sz w:val="20"/>
          <w:lang w:val="es-AR" w:eastAsia="es-ES_tradnl"/>
        </w:rPr>
        <w:t xml:space="preserve">". El Tribunal observa que los deseos del </w:t>
      </w:r>
      <w:r w:rsidRPr="00AB7B88">
        <w:rPr>
          <w:rStyle w:val="Bodytext13125pt"/>
          <w:rFonts w:ascii="Times New Roman" w:hAnsi="Times New Roman"/>
          <w:b w:val="0"/>
          <w:smallCaps w:val="0"/>
          <w:color w:val="000000"/>
          <w:sz w:val="20"/>
          <w:lang w:val="es-AR" w:eastAsia="es-ES_tradnl"/>
        </w:rPr>
        <w:t>settlor</w:t>
      </w:r>
      <w:r w:rsidRPr="00AB7B88">
        <w:rPr>
          <w:rStyle w:val="Bodytext52"/>
          <w:rFonts w:ascii="Times New Roman" w:hAnsi="Times New Roman"/>
          <w:color w:val="000000"/>
          <w:sz w:val="20"/>
          <w:lang w:val="es-AR" w:eastAsia="es-ES_tradnl"/>
        </w:rPr>
        <w:t xml:space="preserve"> no serían la única consideración pertinente. Por ejemplo, las circunstancias podrían haber cambiado, como en realidad cambiaron en este caso y, si revisten relevancia, un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estaría obligado a tenerlas en cuenta.</w:t>
      </w:r>
    </w:p>
    <w:p w14:paraId="0E246885" w14:textId="77777777" w:rsidR="003B3957" w:rsidRPr="00AB7B88" w:rsidRDefault="003B3957" w:rsidP="000053F7">
      <w:pPr>
        <w:pStyle w:val="Bodytext1"/>
        <w:numPr>
          <w:ilvl w:val="0"/>
          <w:numId w:val="41"/>
        </w:numPr>
        <w:shd w:val="clear" w:color="auto" w:fill="auto"/>
        <w:tabs>
          <w:tab w:val="left" w:pos="514"/>
        </w:tabs>
        <w:spacing w:before="380" w:line="360" w:lineRule="auto"/>
        <w:ind w:left="520"/>
        <w:jc w:val="both"/>
        <w:rPr>
          <w:sz w:val="20"/>
          <w:lang w:val="es-AR"/>
        </w:rPr>
      </w:pPr>
      <w:r w:rsidRPr="00AB7B88">
        <w:rPr>
          <w:rStyle w:val="Bodytext52"/>
          <w:rFonts w:ascii="Times New Roman" w:hAnsi="Times New Roman"/>
          <w:color w:val="000000"/>
          <w:sz w:val="20"/>
          <w:lang w:val="es-AR" w:eastAsia="es-ES_tradnl"/>
        </w:rPr>
        <w:t xml:space="preserve">Por ende, como máximo, la Carta de Deseos podría haber creado una expectativa para los beneficiarios de que se respetarían los deseos del </w:t>
      </w:r>
      <w:r w:rsidRPr="00AB7B88">
        <w:rPr>
          <w:rStyle w:val="Bodytext13125pt"/>
          <w:rFonts w:ascii="Times New Roman" w:hAnsi="Times New Roman"/>
          <w:b w:val="0"/>
          <w:bCs w:val="0"/>
          <w:smallCaps w:val="0"/>
          <w:color w:val="000000"/>
          <w:sz w:val="20"/>
          <w:lang w:val="es-AR" w:eastAsia="es-ES_tradnl"/>
        </w:rPr>
        <w:t>Settlor</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En realidad, una carta de deseos "no confiere automáticamente un </w:t>
      </w:r>
      <w:r w:rsidRPr="00AB7B88">
        <w:rPr>
          <w:rStyle w:val="Bodytext13125pt"/>
          <w:rFonts w:ascii="Times New Roman" w:hAnsi="Times New Roman"/>
          <w:b w:val="0"/>
          <w:bCs w:val="0"/>
          <w:smallCaps w:val="0"/>
          <w:color w:val="000000"/>
          <w:sz w:val="20"/>
          <w:lang w:val="es-AR" w:eastAsia="es-ES_tradnl"/>
        </w:rPr>
        <w:t>beneficial interest</w:t>
      </w:r>
      <w:r w:rsidRPr="00AB7B88">
        <w:rPr>
          <w:rStyle w:val="Bodytext52"/>
          <w:rFonts w:ascii="Times New Roman" w:hAnsi="Times New Roman"/>
          <w:color w:val="000000"/>
          <w:sz w:val="20"/>
          <w:lang w:val="es-AR" w:eastAsia="es-ES_tradnl"/>
        </w:rPr>
        <w:t xml:space="preserve"> a dichos beneficiarios más allá del que gozan como beneficiarios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pero indudablemente aumenta la calidad de la expectativa correspondiente a dichos intereses </w:t>
      </w:r>
      <w:r w:rsidR="00B13B40" w:rsidRPr="00AB7B88">
        <w:rPr>
          <w:rStyle w:val="FootnoteReference"/>
          <w:rFonts w:cs="Palatino Linotype"/>
          <w:color w:val="000000"/>
          <w:sz w:val="20"/>
          <w:szCs w:val="19"/>
          <w:lang w:val="es-AR" w:eastAsia="es-ES_tradnl"/>
        </w:rPr>
        <w:footnoteReference w:id="292"/>
      </w:r>
      <w:r w:rsidRPr="00AB7B88">
        <w:rPr>
          <w:rStyle w:val="Bodytext52"/>
          <w:rFonts w:ascii="Times New Roman" w:hAnsi="Times New Roman"/>
          <w:color w:val="000000"/>
          <w:sz w:val="20"/>
          <w:lang w:val="es-AR" w:eastAsia="es-ES_tradnl"/>
        </w:rPr>
        <w:t>". La Carta de Deseos podría haber intensificado la expectativa, pero esta habría</w:t>
      </w:r>
      <w:r w:rsidRPr="00AB7B88">
        <w:rPr>
          <w:sz w:val="20"/>
          <w:lang w:val="es-AR"/>
        </w:rPr>
        <w:t xml:space="preserve"> </w:t>
      </w:r>
      <w:r w:rsidRPr="00AB7B88">
        <w:rPr>
          <w:rStyle w:val="Bodytext52"/>
          <w:rFonts w:ascii="Times New Roman" w:hAnsi="Times New Roman"/>
          <w:color w:val="000000"/>
          <w:sz w:val="20"/>
          <w:lang w:val="es-AR" w:eastAsia="es-ES_tradnl"/>
        </w:rPr>
        <w:t>seguido siendo una mera expectativa.</w:t>
      </w:r>
    </w:p>
    <w:p w14:paraId="25CA7170" w14:textId="77777777" w:rsidR="003B3957" w:rsidRPr="00AB7B88" w:rsidRDefault="003B3957" w:rsidP="00B331DD">
      <w:pPr>
        <w:pStyle w:val="Bodytext1"/>
        <w:numPr>
          <w:ilvl w:val="0"/>
          <w:numId w:val="41"/>
        </w:numPr>
        <w:shd w:val="clear" w:color="auto" w:fill="auto"/>
        <w:tabs>
          <w:tab w:val="left" w:pos="514"/>
        </w:tabs>
        <w:spacing w:before="380" w:line="360" w:lineRule="auto"/>
        <w:ind w:left="520"/>
        <w:jc w:val="both"/>
        <w:rPr>
          <w:sz w:val="20"/>
          <w:lang w:val="es-AR"/>
        </w:rPr>
      </w:pPr>
      <w:r w:rsidRPr="00AB7B88">
        <w:rPr>
          <w:rStyle w:val="Bodytext52"/>
          <w:rFonts w:ascii="Times New Roman" w:hAnsi="Times New Roman"/>
          <w:color w:val="000000"/>
          <w:sz w:val="20"/>
          <w:lang w:val="es-AR" w:eastAsia="es-ES_tradnl"/>
        </w:rPr>
        <w:t xml:space="preserve">Los Demandantes también fundamentan su postura en las relaciones familiares en tomo al </w:t>
      </w:r>
      <w:r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como un </w:t>
      </w:r>
      <w:r w:rsidRPr="00AB7B88">
        <w:rPr>
          <w:rStyle w:val="Bodytext52"/>
          <w:rFonts w:ascii="Times New Roman" w:hAnsi="Times New Roman"/>
          <w:color w:val="000000"/>
          <w:sz w:val="20"/>
          <w:lang w:val="es-AR" w:eastAsia="es-ES_tradnl"/>
        </w:rPr>
        <w:lastRenderedPageBreak/>
        <w:t>factor que aumenta la probabilidad de que la Carta de Deseos fuera respetada</w:t>
      </w:r>
      <w:r w:rsidRPr="00AB7B88">
        <w:rPr>
          <w:rStyle w:val="Bodytext52"/>
          <w:rFonts w:ascii="Times New Roman" w:hAnsi="Times New Roman"/>
          <w:color w:val="000000"/>
          <w:sz w:val="20"/>
          <w:vertAlign w:val="superscript"/>
          <w:lang w:eastAsia="es-ES_tradnl"/>
        </w:rPr>
        <w:footnoteReference w:id="293"/>
      </w:r>
      <w:r w:rsidRPr="00AB7B88">
        <w:rPr>
          <w:rStyle w:val="Bodytext52"/>
          <w:rFonts w:ascii="Times New Roman" w:hAnsi="Times New Roman"/>
          <w:color w:val="000000"/>
          <w:sz w:val="20"/>
          <w:lang w:val="es-AR" w:eastAsia="es-ES_tradnl"/>
        </w:rPr>
        <w:t xml:space="preserve">. Sin embargo, estas expectativas no alteran la naturaleza jurídica de los derechos de los Demandantes y se deben ponderar junto con las siguientes consideraciones. En primer lugar, el 1 de abril de 2008, si el </w:t>
      </w:r>
      <w:r w:rsidRPr="00AB7B88">
        <w:rPr>
          <w:rStyle w:val="Bodytext13125pt"/>
          <w:rFonts w:ascii="Times New Roman" w:hAnsi="Times New Roman"/>
          <w:b w:val="0"/>
          <w:bCs w:val="0"/>
          <w:smallCaps w:val="0"/>
          <w:color w:val="000000"/>
          <w:sz w:val="20"/>
          <w:lang w:val="es-AR" w:eastAsia="es-ES_tradnl"/>
        </w:rPr>
        <w:t>Settlor</w:t>
      </w:r>
      <w:r w:rsidRPr="00AB7B88">
        <w:rPr>
          <w:rStyle w:val="Bodytext52"/>
          <w:rFonts w:ascii="Times New Roman" w:hAnsi="Times New Roman"/>
          <w:color w:val="000000"/>
          <w:sz w:val="20"/>
          <w:lang w:val="es-AR" w:eastAsia="es-ES_tradnl"/>
        </w:rPr>
        <w:t xml:space="preserve"> "hubiera tenido la intención de que sus deseos fueran legalmente vinculantes, tenía la opción de reflejar dicha intención en los términos de la propia Escritura de Creación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al otorgarle a los Demandantes </w:t>
      </w:r>
      <w:r w:rsidRPr="00AB7B88">
        <w:rPr>
          <w:rStyle w:val="Bodytext13125pt"/>
          <w:rFonts w:ascii="Times New Roman" w:hAnsi="Times New Roman"/>
          <w:b w:val="0"/>
          <w:bCs w:val="0"/>
          <w:smallCaps w:val="0"/>
          <w:color w:val="000000"/>
          <w:sz w:val="20"/>
          <w:lang w:val="es-AR" w:eastAsia="es-ES_tradnl"/>
        </w:rPr>
        <w:t>fixed interests</w:t>
      </w:r>
      <w:r w:rsidRPr="00AB7B88">
        <w:rPr>
          <w:rStyle w:val="Bodytext52"/>
          <w:rFonts w:ascii="Times New Roman" w:hAnsi="Times New Roman"/>
          <w:color w:val="000000"/>
          <w:sz w:val="20"/>
          <w:lang w:val="es-AR" w:eastAsia="es-ES_tradnl"/>
        </w:rPr>
        <w:t xml:space="preserve"> en los bienes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i w:val="0"/>
          <w:smallCaps w:val="0"/>
          <w:color w:val="000000"/>
          <w:sz w:val="20"/>
          <w:vertAlign w:val="superscript"/>
          <w:lang w:eastAsia="es-ES_tradnl"/>
        </w:rPr>
        <w:footnoteReference w:id="294"/>
      </w:r>
      <w:r w:rsidRPr="00AB7B88">
        <w:rPr>
          <w:rStyle w:val="Bodytext13125pt"/>
          <w:rFonts w:ascii="Times New Roman" w:hAnsi="Times New Roman"/>
          <w:b w:val="0"/>
          <w:i w:val="0"/>
          <w:smallCaps w:val="0"/>
          <w:color w:val="000000"/>
          <w:sz w:val="20"/>
          <w:lang w:val="es-AR" w:eastAsia="es-ES_tradnl"/>
        </w:rPr>
        <w:t>"</w:t>
      </w:r>
      <w:r w:rsidRPr="00AB7B88">
        <w:rPr>
          <w:rStyle w:val="Bodytext13125pt"/>
          <w:rFonts w:ascii="Times New Roman" w:hAnsi="Times New Roman"/>
          <w:b w:val="0"/>
          <w:smallCaps w:val="0"/>
          <w:color w:val="000000"/>
          <w:sz w:val="20"/>
          <w:lang w:val="es-AR" w:eastAsia="es-ES_tradnl"/>
        </w:rPr>
        <w:t>.</w:t>
      </w:r>
    </w:p>
    <w:p w14:paraId="626E953A" w14:textId="77777777" w:rsidR="003B3957" w:rsidRPr="00AB7B88" w:rsidRDefault="003B3957" w:rsidP="00B331DD">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segundo lugar, la trascendencia de la Carta de Deseos era limitada, puesto que esta solo describe los deseos no vinculantes del </w:t>
      </w:r>
      <w:r w:rsidRPr="00AB7B88">
        <w:rPr>
          <w:rStyle w:val="Bodytext13125pt"/>
          <w:rFonts w:ascii="Times New Roman" w:hAnsi="Times New Roman"/>
          <w:b w:val="0"/>
          <w:bCs w:val="0"/>
          <w:smallCaps w:val="0"/>
          <w:color w:val="000000"/>
          <w:sz w:val="20"/>
          <w:lang w:val="es-AR" w:eastAsia="es-ES_tradnl"/>
        </w:rPr>
        <w:t>Settlor</w:t>
      </w:r>
      <w:r w:rsidRPr="00AB7B88">
        <w:rPr>
          <w:rStyle w:val="Bodytext52"/>
          <w:rFonts w:ascii="Times New Roman" w:hAnsi="Times New Roman"/>
          <w:color w:val="000000"/>
          <w:sz w:val="20"/>
          <w:lang w:val="es-AR" w:eastAsia="es-ES_tradnl"/>
        </w:rPr>
        <w:t xml:space="preserve"> al acontecer un evento de liquidez. En consecuencia, "[e]n todos los otros aspectos, incluso la distribución de ingresos (para la cual el </w:t>
      </w:r>
      <w:r w:rsidR="00B058CD" w:rsidRPr="00AB7B88">
        <w:rPr>
          <w:rStyle w:val="Bodytext13125pt"/>
          <w:rFonts w:ascii="Times New Roman" w:hAnsi="Times New Roman"/>
          <w:b w:val="0"/>
          <w:bCs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no requiere el consentimiento del Protector), y con respecto a cualquier otro poder otorgado al </w:t>
      </w:r>
      <w:r w:rsidR="00B058CD" w:rsidRPr="00AB7B88">
        <w:rPr>
          <w:rStyle w:val="Bodytext13125pt"/>
          <w:rFonts w:ascii="Times New Roman" w:hAnsi="Times New Roman"/>
          <w:b w:val="0"/>
          <w:bCs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conforme a la Escritura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no existe ninguna declaración de deseos aplicable</w:t>
      </w:r>
      <w:r w:rsidRPr="00AB7B88">
        <w:rPr>
          <w:rStyle w:val="Bodytext52"/>
          <w:rFonts w:ascii="Times New Roman" w:hAnsi="Times New Roman"/>
          <w:color w:val="000000"/>
          <w:sz w:val="20"/>
          <w:vertAlign w:val="superscript"/>
          <w:lang w:eastAsia="es-ES_tradnl"/>
        </w:rPr>
        <w:footnoteReference w:id="295"/>
      </w:r>
      <w:r w:rsidRPr="00AB7B88">
        <w:rPr>
          <w:rStyle w:val="Bodytext52"/>
          <w:rFonts w:ascii="Times New Roman" w:hAnsi="Times New Roman"/>
          <w:color w:val="000000"/>
          <w:sz w:val="20"/>
          <w:lang w:val="es-AR" w:eastAsia="es-ES_tradnl"/>
        </w:rPr>
        <w:t>".</w:t>
      </w:r>
    </w:p>
    <w:p w14:paraId="475FAD1C" w14:textId="77777777" w:rsidR="003B3957" w:rsidRPr="00AB7B88" w:rsidRDefault="003B3957" w:rsidP="00B331DD">
      <w:pPr>
        <w:pStyle w:val="Bodytext1"/>
        <w:numPr>
          <w:ilvl w:val="0"/>
          <w:numId w:val="41"/>
        </w:numPr>
        <w:shd w:val="clear" w:color="auto" w:fill="auto"/>
        <w:tabs>
          <w:tab w:val="left" w:pos="754"/>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tercer lugar, el día después de la conformación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el 2 de abril de 2008, "las acciones de Devi Ltd. fueron compradas por los </w:t>
      </w:r>
      <w:r w:rsidR="004D2026" w:rsidRPr="00AB7B88">
        <w:rPr>
          <w:rStyle w:val="Bodytext13125pt"/>
          <w:rFonts w:ascii="Times New Roman" w:hAnsi="Times New Roman"/>
          <w:b w:val="0"/>
          <w:bCs w:val="0"/>
          <w:smallCaps w:val="0"/>
          <w:color w:val="000000"/>
          <w:sz w:val="20"/>
          <w:lang w:val="es-AR" w:eastAsia="es-ES_tradnl"/>
        </w:rPr>
        <w:t>Trustees</w:t>
      </w:r>
      <w:r w:rsidRPr="00AB7B88">
        <w:rPr>
          <w:rStyle w:val="Bodytext52"/>
          <w:rFonts w:ascii="Times New Roman" w:hAnsi="Times New Roman"/>
          <w:color w:val="000000"/>
          <w:sz w:val="20"/>
          <w:lang w:val="es-AR" w:eastAsia="es-ES_tradnl"/>
        </w:rPr>
        <w:t xml:space="preserve">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P. Devi de los </w:t>
      </w:r>
      <w:r w:rsidR="004D2026" w:rsidRPr="00AB7B88">
        <w:rPr>
          <w:rStyle w:val="Bodytext13125pt"/>
          <w:rFonts w:ascii="Times New Roman" w:hAnsi="Times New Roman"/>
          <w:b w:val="0"/>
          <w:bCs w:val="0"/>
          <w:smallCaps w:val="0"/>
          <w:color w:val="000000"/>
          <w:sz w:val="20"/>
          <w:lang w:val="es-AR" w:eastAsia="es-ES_tradnl"/>
        </w:rPr>
        <w:t>Trustees</w:t>
      </w:r>
      <w:r w:rsidRPr="00AB7B88">
        <w:rPr>
          <w:rStyle w:val="Bodytext52"/>
          <w:rFonts w:ascii="Times New Roman" w:hAnsi="Times New Roman"/>
          <w:color w:val="000000"/>
          <w:sz w:val="20"/>
          <w:lang w:val="es-AR" w:eastAsia="es-ES_tradnl"/>
        </w:rPr>
        <w:t xml:space="preserve"> de otro de los </w:t>
      </w:r>
      <w:r w:rsidR="004D2026" w:rsidRPr="00AB7B88">
        <w:rPr>
          <w:rStyle w:val="Bodytext13125pt"/>
          <w:rFonts w:ascii="Times New Roman" w:hAnsi="Times New Roman"/>
          <w:b w:val="0"/>
          <w:bCs w:val="0"/>
          <w:smallCaps w:val="0"/>
          <w:color w:val="000000"/>
          <w:sz w:val="20"/>
          <w:lang w:val="es-AR" w:eastAsia="es-ES_tradnl"/>
        </w:rPr>
        <w:t>Trusts</w:t>
      </w:r>
      <w:r w:rsidRPr="00AB7B88">
        <w:rPr>
          <w:rStyle w:val="Bodytext52"/>
          <w:rFonts w:ascii="Times New Roman" w:hAnsi="Times New Roman"/>
          <w:color w:val="000000"/>
          <w:sz w:val="20"/>
          <w:lang w:val="es-AR" w:eastAsia="es-ES_tradnl"/>
        </w:rPr>
        <w:t xml:space="preserve"> del Sr. Agarwal -el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Devi- y [...] que la consideración para esa adquisición fue una 'deuda especializada’ que era 'igual al valor de mercado' de las acciones, y era 'reembolsable en su totalidad o en parte a solicitud del Prestamista a los Prestatarios’</w:t>
      </w:r>
      <w:r w:rsidRPr="00AB7B88">
        <w:rPr>
          <w:rStyle w:val="Bodytext52"/>
          <w:rFonts w:ascii="Times New Roman" w:hAnsi="Times New Roman"/>
          <w:color w:val="000000"/>
          <w:sz w:val="20"/>
          <w:vertAlign w:val="superscript"/>
          <w:lang w:eastAsia="es-ES_tradnl"/>
        </w:rPr>
        <w:footnoteReference w:id="296"/>
      </w:r>
      <w:r w:rsidRPr="00AB7B88">
        <w:rPr>
          <w:rStyle w:val="Bodytext52"/>
          <w:rFonts w:ascii="Times New Roman" w:hAnsi="Times New Roman"/>
          <w:color w:val="000000"/>
          <w:sz w:val="20"/>
          <w:lang w:val="es-AR" w:eastAsia="es-ES_tradnl"/>
        </w:rPr>
        <w:t>". La deuda "especializada" estaba valorada en GBP 164.125.000</w:t>
      </w:r>
      <w:r w:rsidRPr="00AB7B88">
        <w:rPr>
          <w:rStyle w:val="Bodytext52"/>
          <w:rFonts w:ascii="Times New Roman" w:hAnsi="Times New Roman"/>
          <w:color w:val="000000"/>
          <w:sz w:val="20"/>
          <w:vertAlign w:val="superscript"/>
          <w:lang w:eastAsia="es-ES_tradnl"/>
        </w:rPr>
        <w:footnoteReference w:id="297"/>
      </w:r>
      <w:r w:rsidRPr="00AB7B88">
        <w:rPr>
          <w:rStyle w:val="Bodytext52"/>
          <w:rFonts w:ascii="Times New Roman" w:hAnsi="Times New Roman"/>
          <w:color w:val="000000"/>
          <w:sz w:val="20"/>
          <w:lang w:val="es-AR" w:eastAsia="es-ES_tradnl"/>
        </w:rPr>
        <w:t>. El 3 de abril de 2008, el beneficio de esa deuda se asignó al mismo Sr. Agarwal</w:t>
      </w:r>
      <w:r w:rsidRPr="00AB7B88">
        <w:rPr>
          <w:rStyle w:val="Bodytext52"/>
          <w:rFonts w:ascii="Times New Roman" w:hAnsi="Times New Roman"/>
          <w:color w:val="000000"/>
          <w:sz w:val="20"/>
          <w:vertAlign w:val="superscript"/>
          <w:lang w:eastAsia="es-ES_tradnl"/>
        </w:rPr>
        <w:footnoteReference w:id="298"/>
      </w:r>
      <w:r w:rsidRPr="00AB7B88">
        <w:rPr>
          <w:rStyle w:val="Bodytext52"/>
          <w:rFonts w:ascii="Times New Roman" w:hAnsi="Times New Roman"/>
          <w:color w:val="000000"/>
          <w:sz w:val="20"/>
          <w:lang w:val="es-AR" w:eastAsia="es-ES_tradnl"/>
        </w:rPr>
        <w:t>.</w:t>
      </w:r>
    </w:p>
    <w:p w14:paraId="3C80D93F" w14:textId="77777777" w:rsidR="003B3957" w:rsidRPr="00AB7B88" w:rsidRDefault="003B3957" w:rsidP="00B331DD">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Tribunal concluye que, en virtud de la ley de las Islas Caimán, el derecho de los Demandantes con respecto al </w:t>
      </w:r>
      <w:r w:rsidRPr="00AB7B88">
        <w:rPr>
          <w:rStyle w:val="Bodytext13125pt"/>
          <w:rFonts w:ascii="Times New Roman" w:hAnsi="Times New Roman"/>
          <w:b w:val="0"/>
          <w:bCs w:val="0"/>
          <w:smallCaps w:val="0"/>
          <w:color w:val="000000"/>
          <w:sz w:val="20"/>
          <w:lang w:val="es-AR" w:eastAsia="es-ES_tradnl"/>
        </w:rPr>
        <w:t>Trust</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en su calidad de </w:t>
      </w:r>
      <w:r w:rsidRPr="00AB7B88">
        <w:rPr>
          <w:rStyle w:val="Bodytext13125pt"/>
          <w:rFonts w:ascii="Times New Roman" w:hAnsi="Times New Roman"/>
          <w:b w:val="0"/>
          <w:bCs w:val="0"/>
          <w:smallCaps w:val="0"/>
          <w:color w:val="000000"/>
          <w:sz w:val="20"/>
          <w:lang w:val="es-AR" w:eastAsia="es-ES_tradnl"/>
        </w:rPr>
        <w:t>discretionary beneficiaries</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se limitó a un derecho a ser considerados por el </w:t>
      </w:r>
      <w:r w:rsidR="00B058CD" w:rsidRPr="00AB7B88">
        <w:rPr>
          <w:rStyle w:val="Bodytext13125pt"/>
          <w:rFonts w:ascii="Times New Roman" w:hAnsi="Times New Roman"/>
          <w:b w:val="0"/>
          <w:bCs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en la distribución de bienes, pero no poseían ningún derecho, de propiedad o de otra clase, sobre los bienes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El único derecho de los Demandantes era exigir que 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sería administrado de modo apropiado. La Carta de Deseos no limitó la discrecionalidad del </w:t>
      </w:r>
      <w:r w:rsidR="00B058CD" w:rsidRPr="00AB7B88">
        <w:rPr>
          <w:rStyle w:val="Bodytext13125pt"/>
          <w:rFonts w:ascii="Times New Roman" w:hAnsi="Times New Roman"/>
          <w:b w:val="0"/>
          <w:bCs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más allá de la obligación del </w:t>
      </w:r>
      <w:r w:rsidR="00B058CD" w:rsidRPr="00AB7B88">
        <w:rPr>
          <w:rStyle w:val="Bodytext13125pt"/>
          <w:rFonts w:ascii="Times New Roman" w:hAnsi="Times New Roman"/>
          <w:b w:val="0"/>
          <w:bCs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de tenerla </w:t>
      </w:r>
      <w:r w:rsidRPr="00AB7B88">
        <w:rPr>
          <w:rStyle w:val="Bodytext52"/>
          <w:rFonts w:ascii="Times New Roman" w:hAnsi="Times New Roman"/>
          <w:color w:val="000000"/>
          <w:sz w:val="20"/>
          <w:lang w:val="es-AR" w:eastAsia="es-ES_tradnl"/>
        </w:rPr>
        <w:lastRenderedPageBreak/>
        <w:t>en cuenta como un aspecto pertinente</w:t>
      </w:r>
      <w:r w:rsidRPr="00AB7B88">
        <w:rPr>
          <w:rStyle w:val="Bodytext52"/>
          <w:rFonts w:ascii="Times New Roman" w:hAnsi="Times New Roman"/>
          <w:color w:val="000000"/>
          <w:sz w:val="20"/>
          <w:vertAlign w:val="superscript"/>
          <w:lang w:eastAsia="es-ES_tradnl"/>
        </w:rPr>
        <w:footnoteReference w:id="299"/>
      </w:r>
      <w:r w:rsidRPr="00AB7B88">
        <w:rPr>
          <w:rStyle w:val="Bodytext52"/>
          <w:rFonts w:ascii="Times New Roman" w:hAnsi="Times New Roman"/>
          <w:color w:val="000000"/>
          <w:sz w:val="20"/>
          <w:lang w:val="es-AR" w:eastAsia="es-ES_tradnl"/>
        </w:rPr>
        <w:t>.</w:t>
      </w:r>
    </w:p>
    <w:p w14:paraId="361B2A11" w14:textId="77777777" w:rsidR="003B3957" w:rsidRPr="00AB7B88" w:rsidRDefault="003B3957" w:rsidP="00B331DD">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A continuación, el Tribunal considerará si los </w:t>
      </w:r>
      <w:r w:rsidRPr="00AB7B88">
        <w:rPr>
          <w:rStyle w:val="Bodytext13125pt"/>
          <w:rFonts w:ascii="Times New Roman" w:hAnsi="Times New Roman"/>
          <w:b w:val="0"/>
          <w:bCs w:val="0"/>
          <w:smallCaps w:val="0"/>
          <w:color w:val="000000"/>
          <w:sz w:val="20"/>
          <w:lang w:val="es-AR" w:eastAsia="es-ES_tradnl"/>
        </w:rPr>
        <w:t>discretionary benefits</w:t>
      </w:r>
      <w:r w:rsidRPr="00AB7B88">
        <w:rPr>
          <w:rStyle w:val="Bodytext52"/>
          <w:rFonts w:ascii="Times New Roman" w:hAnsi="Times New Roman"/>
          <w:color w:val="000000"/>
          <w:sz w:val="20"/>
          <w:lang w:val="es-AR" w:eastAsia="es-ES_tradnl"/>
        </w:rPr>
        <w:t xml:space="preserve"> de los Demandantes son bienes que les confieren legitimación al amparo del TBI.</w:t>
      </w:r>
    </w:p>
    <w:p w14:paraId="4B29A265" w14:textId="77777777" w:rsidR="003B3957" w:rsidRPr="00AB7B88" w:rsidRDefault="003B3957" w:rsidP="00D83A12">
      <w:pPr>
        <w:pStyle w:val="Heading20"/>
        <w:keepNext/>
        <w:keepLines/>
        <w:numPr>
          <w:ilvl w:val="0"/>
          <w:numId w:val="47"/>
        </w:numPr>
        <w:shd w:val="clear" w:color="auto" w:fill="auto"/>
        <w:tabs>
          <w:tab w:val="left" w:pos="284"/>
          <w:tab w:val="left" w:pos="625"/>
        </w:tabs>
        <w:spacing w:before="380" w:after="0" w:line="360" w:lineRule="auto"/>
        <w:ind w:left="20" w:right="40" w:firstLine="0"/>
        <w:rPr>
          <w:rFonts w:ascii="Times New Roman" w:hAnsi="Times New Roman"/>
          <w:b w:val="0"/>
          <w:sz w:val="20"/>
          <w:lang w:val="es-AR"/>
        </w:rPr>
      </w:pPr>
      <w:bookmarkStart w:id="94" w:name="bookmark95"/>
      <w:r w:rsidRPr="00AB7B88">
        <w:rPr>
          <w:rStyle w:val="Heading2"/>
          <w:rFonts w:ascii="Times New Roman" w:hAnsi="Times New Roman"/>
          <w:b/>
          <w:color w:val="000000"/>
          <w:sz w:val="20"/>
          <w:lang w:val="es-AR" w:eastAsia="es-ES_tradnl"/>
        </w:rPr>
        <w:t xml:space="preserve">¿Constituye el </w:t>
      </w:r>
      <w:r w:rsidRPr="00AB7B88">
        <w:rPr>
          <w:rStyle w:val="Bodytext145pt"/>
          <w:rFonts w:ascii="Times New Roman" w:eastAsia="Calibri" w:hAnsi="Times New Roman"/>
          <w:b/>
          <w:bCs/>
          <w:smallCaps w:val="0"/>
          <w:color w:val="000000"/>
          <w:sz w:val="20"/>
          <w:lang w:val="es-AR" w:eastAsia="es-ES_tradnl"/>
        </w:rPr>
        <w:t>discretional beneficiary interest</w:t>
      </w:r>
      <w:r w:rsidRPr="00AB7B88">
        <w:rPr>
          <w:rStyle w:val="Heading2"/>
          <w:rFonts w:ascii="Times New Roman" w:hAnsi="Times New Roman"/>
          <w:b/>
          <w:color w:val="000000"/>
          <w:sz w:val="20"/>
          <w:lang w:val="es-AR" w:eastAsia="es-ES_tradnl"/>
        </w:rPr>
        <w:t xml:space="preserve"> de los Demandantes un bien conforme al TBI?</w:t>
      </w:r>
      <w:bookmarkEnd w:id="94"/>
    </w:p>
    <w:p w14:paraId="1747DCD4" w14:textId="77777777" w:rsidR="003B3957" w:rsidRPr="00AB7B88" w:rsidRDefault="003B3957" w:rsidP="000053F7">
      <w:pPr>
        <w:pStyle w:val="Bodytext1"/>
        <w:numPr>
          <w:ilvl w:val="0"/>
          <w:numId w:val="41"/>
        </w:numPr>
        <w:shd w:val="clear" w:color="auto" w:fill="auto"/>
        <w:tabs>
          <w:tab w:val="left" w:pos="534"/>
        </w:tabs>
        <w:spacing w:before="380" w:line="360" w:lineRule="auto"/>
        <w:ind w:left="540"/>
        <w:jc w:val="both"/>
        <w:rPr>
          <w:sz w:val="20"/>
          <w:lang w:val="es-AR"/>
        </w:rPr>
      </w:pPr>
      <w:r w:rsidRPr="00AB7B88">
        <w:rPr>
          <w:rStyle w:val="Bodytext52"/>
          <w:rFonts w:ascii="Times New Roman" w:hAnsi="Times New Roman"/>
          <w:color w:val="000000"/>
          <w:sz w:val="20"/>
          <w:lang w:val="es-AR" w:eastAsia="es-ES_tradnl"/>
        </w:rPr>
        <w:t xml:space="preserve">La Demandada señaló que los Demandantes eran meros </w:t>
      </w:r>
      <w:r w:rsidRPr="00AB7B88">
        <w:rPr>
          <w:rStyle w:val="Bodytext13125pt"/>
          <w:rFonts w:ascii="Times New Roman" w:hAnsi="Times New Roman"/>
          <w:b w:val="0"/>
          <w:bCs w:val="0"/>
          <w:smallCaps w:val="0"/>
          <w:color w:val="000000"/>
          <w:sz w:val="20"/>
          <w:lang w:val="es-AR" w:eastAsia="es-ES_tradnl"/>
        </w:rPr>
        <w:t>discretionary beneficiaries</w:t>
      </w:r>
      <w:r w:rsidRPr="00AB7B88">
        <w:rPr>
          <w:rStyle w:val="Bodytext52"/>
          <w:rFonts w:ascii="Times New Roman" w:hAnsi="Times New Roman"/>
          <w:color w:val="000000"/>
          <w:sz w:val="20"/>
          <w:lang w:val="es-AR" w:eastAsia="es-ES_tradnl"/>
        </w:rPr>
        <w:t xml:space="preserve"> que, desde el punto de vista legal, no eran propietarios de los bienes y beneficios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Por otro lado, los Demandantes sostienen que, "[c]onforme al derecho internacional, cuando ciertos [intereses] se dividen entre un titular formal, registrado o legal y partes con un </w:t>
      </w:r>
      <w:r w:rsidRPr="00AB7B88">
        <w:rPr>
          <w:rStyle w:val="Bodytext13125pt"/>
          <w:rFonts w:ascii="Times New Roman" w:hAnsi="Times New Roman"/>
          <w:b w:val="0"/>
          <w:bCs w:val="0"/>
          <w:smallCaps w:val="0"/>
          <w:color w:val="000000"/>
          <w:sz w:val="20"/>
          <w:lang w:val="es-AR" w:eastAsia="es-ES_tradnl"/>
        </w:rPr>
        <w:t>beneficial or economic interest,</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son estas últimas quienes tienen derecho a presentar un reclamo internacional. Ellas, y no el </w:t>
      </w:r>
      <w:r w:rsidR="00B058CD" w:rsidRPr="00AB7B88">
        <w:rPr>
          <w:rStyle w:val="Bodytext13125pt"/>
          <w:rFonts w:ascii="Times New Roman" w:hAnsi="Times New Roman"/>
          <w:b w:val="0"/>
          <w:bCs w:val="0"/>
          <w:smallCaps w:val="0"/>
          <w:color w:val="000000"/>
          <w:sz w:val="20"/>
          <w:lang w:val="es-AR" w:eastAsia="es-ES_tradnl"/>
        </w:rPr>
        <w:t>Trustee</w:t>
      </w:r>
      <w:r w:rsidRPr="00AB7B88">
        <w:rPr>
          <w:rStyle w:val="Bodytext13125pt"/>
          <w:rFonts w:ascii="Times New Roman" w:hAnsi="Times New Roman"/>
          <w:b w:val="0"/>
          <w:bCs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son las partes adecuadas a los efectos de la jurisdicción y la legitimación en un procedimiento internacional. Conforme explica el profesor Reisman, ’el derecho internacional favorece a la parte que tiene un </w:t>
      </w:r>
      <w:r w:rsidRPr="00AB7B88">
        <w:rPr>
          <w:rStyle w:val="Bodytext13125pt"/>
          <w:rFonts w:ascii="Times New Roman" w:hAnsi="Times New Roman"/>
          <w:b w:val="0"/>
          <w:bCs w:val="0"/>
          <w:smallCaps w:val="0"/>
          <w:color w:val="000000"/>
          <w:sz w:val="20"/>
          <w:lang w:val="es-AR" w:eastAsia="es-ES_tradnl"/>
        </w:rPr>
        <w:t>economic orbeneficiai interest</w:t>
      </w:r>
      <w:r w:rsidRPr="00AB7B88">
        <w:rPr>
          <w:rStyle w:val="Bodytext52"/>
          <w:rFonts w:ascii="Times New Roman" w:hAnsi="Times New Roman"/>
          <w:color w:val="000000"/>
          <w:sz w:val="20"/>
          <w:lang w:val="es-AR" w:eastAsia="es-ES_tradnl"/>
        </w:rPr>
        <w:t xml:space="preserve"> por encima del titular nominal o registrado’"</w:t>
      </w:r>
      <w:r w:rsidR="006C2DD5" w:rsidRPr="00AB7B88">
        <w:rPr>
          <w:rStyle w:val="FootnoteReference"/>
          <w:rFonts w:cs="Palatino Linotype"/>
          <w:color w:val="000000"/>
          <w:sz w:val="20"/>
          <w:szCs w:val="19"/>
          <w:lang w:val="es-AR" w:eastAsia="es-ES_tradnl"/>
        </w:rPr>
        <w:footnoteReference w:id="300"/>
      </w:r>
      <w:r w:rsidRPr="00AB7B88">
        <w:rPr>
          <w:rStyle w:val="Bodytext52"/>
          <w:rFonts w:ascii="Times New Roman" w:hAnsi="Times New Roman"/>
          <w:color w:val="000000"/>
          <w:sz w:val="20"/>
          <w:lang w:val="es-AR" w:eastAsia="es-ES_tradnl"/>
        </w:rPr>
        <w:t>.</w:t>
      </w:r>
    </w:p>
    <w:p w14:paraId="3AEF6637" w14:textId="77777777" w:rsidR="003B3957" w:rsidRPr="00AB7B88" w:rsidRDefault="003B3957" w:rsidP="000053F7">
      <w:pPr>
        <w:pStyle w:val="Bodytext1"/>
        <w:numPr>
          <w:ilvl w:val="0"/>
          <w:numId w:val="41"/>
        </w:numPr>
        <w:shd w:val="clear" w:color="auto" w:fill="auto"/>
        <w:tabs>
          <w:tab w:val="left" w:pos="534"/>
        </w:tabs>
        <w:spacing w:before="380" w:line="360" w:lineRule="auto"/>
        <w:ind w:left="540"/>
        <w:jc w:val="both"/>
        <w:rPr>
          <w:sz w:val="20"/>
          <w:lang w:val="es-AR"/>
        </w:rPr>
      </w:pPr>
      <w:r w:rsidRPr="00AB7B88">
        <w:rPr>
          <w:rStyle w:val="Bodytext52"/>
          <w:rFonts w:ascii="Times New Roman" w:hAnsi="Times New Roman"/>
          <w:color w:val="000000"/>
          <w:sz w:val="20"/>
          <w:lang w:val="es-AR" w:eastAsia="es-ES_tradnl"/>
        </w:rPr>
        <w:t xml:space="preserve">En su Notificación de Arbitraje y en el Escrito de Demanda, los Demandantes enumeraron las inversiones que estaban comprendidas en 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en relación con las cuales se presentaban como </w:t>
      </w:r>
      <w:r w:rsidRPr="00AB7B88">
        <w:rPr>
          <w:rStyle w:val="Bodytext13125pt"/>
          <w:rFonts w:ascii="Times New Roman" w:hAnsi="Times New Roman"/>
          <w:b w:val="0"/>
          <w:bCs w:val="0"/>
          <w:smallCaps w:val="0"/>
          <w:color w:val="000000"/>
          <w:sz w:val="20"/>
          <w:lang w:val="es-AR" w:eastAsia="es-ES_tradnl"/>
        </w:rPr>
        <w:t>beneficial owners</w:t>
      </w:r>
      <w:r w:rsidR="006A6CBF" w:rsidRPr="00AB7B88">
        <w:rPr>
          <w:rStyle w:val="FootnoteReference"/>
          <w:rFonts w:cs="Angsana New"/>
          <w:iCs/>
          <w:color w:val="000000"/>
          <w:sz w:val="20"/>
          <w:szCs w:val="25"/>
          <w:shd w:val="clear" w:color="auto" w:fill="FFFFFF"/>
          <w:lang w:val="es-AR" w:eastAsia="es-ES_tradnl"/>
        </w:rPr>
        <w:footnoteReference w:id="301"/>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En su Escrito de Contestación (Jurisdicción), los Demandantes no aseveran ser </w:t>
      </w:r>
      <w:r w:rsidRPr="00AB7B88">
        <w:rPr>
          <w:rStyle w:val="Bodytext13125pt"/>
          <w:rFonts w:ascii="Times New Roman" w:hAnsi="Times New Roman"/>
          <w:b w:val="0"/>
          <w:bCs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sino ostentar intereses en tanto que </w:t>
      </w:r>
      <w:r w:rsidRPr="00AB7B88">
        <w:rPr>
          <w:rStyle w:val="Bodytext13125pt"/>
          <w:rFonts w:ascii="Times New Roman" w:hAnsi="Times New Roman"/>
          <w:b w:val="0"/>
          <w:bCs w:val="0"/>
          <w:smallCaps w:val="0"/>
          <w:color w:val="000000"/>
          <w:sz w:val="20"/>
          <w:lang w:val="es-AR" w:eastAsia="es-ES_tradnl"/>
        </w:rPr>
        <w:t>discretionary beneficiaries.</w:t>
      </w:r>
      <w:r w:rsidRPr="00AB7B88">
        <w:rPr>
          <w:rStyle w:val="Bodytext52"/>
          <w:rFonts w:ascii="Times New Roman" w:hAnsi="Times New Roman"/>
          <w:color w:val="000000"/>
          <w:sz w:val="20"/>
          <w:lang w:val="es-AR" w:eastAsia="es-ES_tradnl"/>
        </w:rPr>
        <w:t xml:space="preserve"> Así, la cuestión no es si bajo el derecho internacional el titular de un </w:t>
      </w:r>
      <w:r w:rsidRPr="00AB7B88">
        <w:rPr>
          <w:rStyle w:val="Bodytext13125pt"/>
          <w:rFonts w:ascii="Times New Roman" w:hAnsi="Times New Roman"/>
          <w:b w:val="0"/>
          <w:bCs w:val="0"/>
          <w:smallCaps w:val="0"/>
          <w:color w:val="000000"/>
          <w:sz w:val="20"/>
          <w:lang w:val="es-AR" w:eastAsia="es-ES_tradnl"/>
        </w:rPr>
        <w:t>beneficial interest</w:t>
      </w:r>
      <w:r w:rsidRPr="00AB7B88">
        <w:rPr>
          <w:rStyle w:val="Bodytext52"/>
          <w:rFonts w:ascii="Times New Roman" w:hAnsi="Times New Roman"/>
          <w:color w:val="000000"/>
          <w:sz w:val="20"/>
          <w:lang w:val="es-AR" w:eastAsia="es-ES_tradnl"/>
        </w:rPr>
        <w:t xml:space="preserve"> tiene preferencia ante un titular de nuda propiedad, sino si los intereses de los Demandantes derivados de su estatus como </w:t>
      </w:r>
      <w:r w:rsidRPr="00AB7B88">
        <w:rPr>
          <w:rStyle w:val="Bodytext13125pt"/>
          <w:rFonts w:ascii="Times New Roman" w:hAnsi="Times New Roman"/>
          <w:b w:val="0"/>
          <w:bCs w:val="0"/>
          <w:smallCaps w:val="0"/>
          <w:color w:val="000000"/>
          <w:sz w:val="20"/>
          <w:lang w:val="es-AR" w:eastAsia="es-ES_tradnl"/>
        </w:rPr>
        <w:t>discretionary beneficiaries</w:t>
      </w:r>
      <w:r w:rsidRPr="00AB7B88">
        <w:rPr>
          <w:rStyle w:val="Bodytext52"/>
          <w:rFonts w:ascii="Times New Roman" w:hAnsi="Times New Roman"/>
          <w:b/>
          <w:bCs/>
          <w:color w:val="000000"/>
          <w:sz w:val="20"/>
          <w:lang w:val="es-AR" w:eastAsia="es-ES_tradnl"/>
        </w:rPr>
        <w:t xml:space="preserve"> </w:t>
      </w:r>
      <w:r w:rsidRPr="00AB7B88">
        <w:rPr>
          <w:rStyle w:val="Bodytext52"/>
          <w:rFonts w:ascii="Times New Roman" w:hAnsi="Times New Roman"/>
          <w:color w:val="000000"/>
          <w:sz w:val="20"/>
          <w:lang w:val="es-AR" w:eastAsia="es-ES_tradnl"/>
        </w:rPr>
        <w:t>reúnen las condiciones para ser considerados bienes en virtud del TBI. Esta cuestión no ha sido tratada en el pasado. En respuesta a una pregunta del Tribunal. uno de los abogados de los Demandantes afirmó:</w:t>
      </w:r>
    </w:p>
    <w:p w14:paraId="0D312479" w14:textId="77777777" w:rsidR="003B3957" w:rsidRPr="00AB7B88" w:rsidRDefault="003B3957" w:rsidP="00920A6D">
      <w:pPr>
        <w:pStyle w:val="Bodytext1"/>
        <w:shd w:val="clear" w:color="auto" w:fill="auto"/>
        <w:spacing w:before="380" w:line="360" w:lineRule="auto"/>
        <w:ind w:left="540" w:right="40" w:firstLine="0"/>
        <w:jc w:val="both"/>
        <w:rPr>
          <w:sz w:val="20"/>
          <w:lang w:val="es-AR"/>
        </w:rPr>
      </w:pPr>
      <w:r w:rsidRPr="00AB7B88">
        <w:rPr>
          <w:rStyle w:val="Bodytext52"/>
          <w:rFonts w:ascii="Times New Roman" w:hAnsi="Times New Roman"/>
          <w:color w:val="000000"/>
          <w:sz w:val="20"/>
          <w:lang w:val="es-AR" w:eastAsia="es-ES_tradnl"/>
        </w:rPr>
        <w:t xml:space="preserve">[...] la respuesta directa a su pregunta es que no encontré ni un caso a favor ni otro contra de un </w:t>
      </w:r>
      <w:r w:rsidRPr="00AB7B88">
        <w:rPr>
          <w:rStyle w:val="Bodytext13125pt"/>
          <w:rFonts w:ascii="Times New Roman" w:hAnsi="Times New Roman"/>
          <w:b w:val="0"/>
          <w:bCs w:val="0"/>
          <w:smallCaps w:val="0"/>
          <w:color w:val="000000"/>
          <w:sz w:val="20"/>
          <w:lang w:val="es-AR" w:eastAsia="es-ES_tradnl"/>
        </w:rPr>
        <w:t>discretionary beneficiary</w:t>
      </w:r>
      <w:r w:rsidRPr="00AB7B88">
        <w:rPr>
          <w:rStyle w:val="Bodytext52"/>
          <w:rFonts w:ascii="Times New Roman" w:hAnsi="Times New Roman"/>
          <w:b/>
          <w:bCs/>
          <w:color w:val="000000"/>
          <w:sz w:val="20"/>
          <w:lang w:val="es-AR" w:eastAsia="es-ES_tradnl"/>
        </w:rPr>
        <w:t xml:space="preserve"> </w:t>
      </w:r>
      <w:r w:rsidRPr="00AB7B88">
        <w:rPr>
          <w:rStyle w:val="Bodytext52"/>
          <w:rFonts w:ascii="Times New Roman" w:hAnsi="Times New Roman"/>
          <w:color w:val="000000"/>
          <w:sz w:val="20"/>
          <w:lang w:val="es-AR" w:eastAsia="es-ES_tradnl"/>
        </w:rPr>
        <w:t>que puede presentar un caso. No creo que Uruguay haya citado ningún caso, o que rechace lo que hemos propuesto. No hemos logrado encontrar un caso que haya aceptado lo que estamos proponiendo</w:t>
      </w:r>
      <w:r w:rsidR="00582DF2" w:rsidRPr="00AB7B88">
        <w:rPr>
          <w:rStyle w:val="FootnoteReference"/>
          <w:rFonts w:cs="Palatino Linotype"/>
          <w:color w:val="000000"/>
          <w:sz w:val="20"/>
          <w:szCs w:val="19"/>
          <w:lang w:val="es-AR" w:eastAsia="es-ES_tradnl"/>
        </w:rPr>
        <w:footnoteReference w:id="302"/>
      </w:r>
      <w:r w:rsidRPr="00AB7B88">
        <w:rPr>
          <w:rStyle w:val="Bodytext52"/>
          <w:rFonts w:ascii="Times New Roman" w:hAnsi="Times New Roman"/>
          <w:color w:val="000000"/>
          <w:sz w:val="20"/>
          <w:lang w:val="es-AR" w:eastAsia="es-ES_tradnl"/>
        </w:rPr>
        <w:t>.</w:t>
      </w:r>
    </w:p>
    <w:p w14:paraId="3150FD4A" w14:textId="77777777" w:rsidR="003B3957" w:rsidRPr="00AB7B88" w:rsidRDefault="003B3957" w:rsidP="000053F7">
      <w:pPr>
        <w:pStyle w:val="Bodytext1"/>
        <w:numPr>
          <w:ilvl w:val="0"/>
          <w:numId w:val="41"/>
        </w:numPr>
        <w:shd w:val="clear" w:color="auto" w:fill="auto"/>
        <w:tabs>
          <w:tab w:val="left" w:pos="543"/>
        </w:tabs>
        <w:spacing w:before="380" w:line="360" w:lineRule="auto"/>
        <w:ind w:left="540"/>
        <w:jc w:val="both"/>
        <w:rPr>
          <w:sz w:val="20"/>
          <w:lang w:val="es-AR"/>
        </w:rPr>
      </w:pPr>
      <w:r w:rsidRPr="00AB7B88">
        <w:rPr>
          <w:rStyle w:val="Bodytext52"/>
          <w:rFonts w:ascii="Times New Roman" w:hAnsi="Times New Roman"/>
          <w:color w:val="000000"/>
          <w:sz w:val="20"/>
          <w:lang w:val="es-AR" w:eastAsia="es-ES_tradnl"/>
        </w:rPr>
        <w:lastRenderedPageBreak/>
        <w:t xml:space="preserve">Sin embargo, y en respaldo de sus argumentos respectivos, las Partes analizaron la jurisprudencia arbitral y los casos resueltos por la Comisión de Resolución de Reclamaciones Extranjeras de los Estados Unidos y el IUSCT. El debate se centró en el grado de </w:t>
      </w:r>
      <w:r w:rsidRPr="00AB7B88">
        <w:rPr>
          <w:rStyle w:val="Bodytext13125pt"/>
          <w:rFonts w:ascii="Times New Roman" w:hAnsi="Times New Roman"/>
          <w:b w:val="0"/>
          <w:bCs w:val="0"/>
          <w:smallCaps w:val="0"/>
          <w:color w:val="000000"/>
          <w:sz w:val="20"/>
          <w:lang w:val="es-AR" w:eastAsia="es-ES_tradnl"/>
        </w:rPr>
        <w:t>beneficial ownership</w:t>
      </w:r>
      <w:r w:rsidRPr="00AB7B88">
        <w:rPr>
          <w:rStyle w:val="Bodytext52"/>
          <w:rFonts w:ascii="Times New Roman" w:hAnsi="Times New Roman"/>
          <w:color w:val="000000"/>
          <w:sz w:val="20"/>
          <w:lang w:val="es-AR" w:eastAsia="es-ES_tradnl"/>
        </w:rPr>
        <w:t xml:space="preserve"> necesario y el efecto derivado del estatus de los Demandantes como </w:t>
      </w:r>
      <w:r w:rsidRPr="00AB7B88">
        <w:rPr>
          <w:rStyle w:val="Bodytext13125pt"/>
          <w:rFonts w:ascii="Times New Roman" w:hAnsi="Times New Roman"/>
          <w:b w:val="0"/>
          <w:bCs w:val="0"/>
          <w:smallCaps w:val="0"/>
          <w:color w:val="000000"/>
          <w:sz w:val="20"/>
          <w:lang w:val="es-AR" w:eastAsia="es-ES_tradnl"/>
        </w:rPr>
        <w:t>discretionary beneficiaries</w:t>
      </w:r>
      <w:r w:rsidRPr="00AB7B88">
        <w:rPr>
          <w:rStyle w:val="Bodytext52"/>
          <w:rFonts w:ascii="Times New Roman" w:hAnsi="Times New Roman"/>
          <w:color w:val="000000"/>
          <w:sz w:val="20"/>
          <w:lang w:val="es-AR" w:eastAsia="es-ES_tradnl"/>
        </w:rPr>
        <w:t xml:space="preserve"> del </w:t>
      </w:r>
      <w:r w:rsidRPr="00AB7B88">
        <w:rPr>
          <w:rStyle w:val="Bodytext13125pt"/>
          <w:rFonts w:ascii="Times New Roman" w:hAnsi="Times New Roman"/>
          <w:b w:val="0"/>
          <w:bCs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durante el período pertinente. Conforme se tomará evidente y fuera destacado por los abogados de los Demandantes, no se ha decidido ningún caso a favor o en contra de la legitimación de un </w:t>
      </w:r>
      <w:r w:rsidRPr="00AB7B88">
        <w:rPr>
          <w:rStyle w:val="Bodytext13125pt"/>
          <w:rFonts w:ascii="Times New Roman" w:hAnsi="Times New Roman"/>
          <w:b w:val="0"/>
          <w:bCs w:val="0"/>
          <w:smallCaps w:val="0"/>
          <w:color w:val="000000"/>
          <w:sz w:val="20"/>
          <w:lang w:val="es-AR" w:eastAsia="es-ES_tradnl"/>
        </w:rPr>
        <w:t>discretionary beneficiary.</w:t>
      </w:r>
      <w:r w:rsidRPr="00AB7B88">
        <w:rPr>
          <w:rStyle w:val="Bodytext52"/>
          <w:rFonts w:ascii="Times New Roman" w:hAnsi="Times New Roman"/>
          <w:color w:val="000000"/>
          <w:sz w:val="20"/>
          <w:lang w:val="es-AR" w:eastAsia="es-ES_tradnl"/>
        </w:rPr>
        <w:t xml:space="preserve"> Pero un análisis del nivel de discrecionalidad del que depende el beneficio a fin de materializarse puede ayudar al Tribunal a determinar si los </w:t>
      </w:r>
      <w:r w:rsidRPr="00AB7B88">
        <w:rPr>
          <w:rStyle w:val="Bodytext13125pt"/>
          <w:rFonts w:ascii="Times New Roman" w:hAnsi="Times New Roman"/>
          <w:b w:val="0"/>
          <w:bCs w:val="0"/>
          <w:smallCaps w:val="0"/>
          <w:color w:val="000000"/>
          <w:sz w:val="20"/>
          <w:lang w:val="es-AR" w:eastAsia="es-ES_tradnl"/>
        </w:rPr>
        <w:t>discretionary beneficiaries</w:t>
      </w:r>
      <w:r w:rsidRPr="00AB7B88">
        <w:rPr>
          <w:rStyle w:val="Bodytext52"/>
          <w:rFonts w:ascii="Times New Roman" w:hAnsi="Times New Roman"/>
          <w:color w:val="000000"/>
          <w:sz w:val="20"/>
          <w:lang w:val="es-AR" w:eastAsia="es-ES_tradnl"/>
        </w:rPr>
        <w:t xml:space="preserve"> reúnen las condiciones para ser considerados titulares de bienes en el marco del TBI.</w:t>
      </w:r>
    </w:p>
    <w:p w14:paraId="0B11D6BA" w14:textId="77777777" w:rsidR="003B3957" w:rsidRPr="00AB7B88" w:rsidRDefault="003B3957" w:rsidP="000053F7">
      <w:pPr>
        <w:pStyle w:val="Bodytext1"/>
        <w:numPr>
          <w:ilvl w:val="0"/>
          <w:numId w:val="41"/>
        </w:numPr>
        <w:shd w:val="clear" w:color="auto" w:fill="auto"/>
        <w:tabs>
          <w:tab w:val="left" w:pos="538"/>
        </w:tabs>
        <w:spacing w:before="380" w:line="360" w:lineRule="auto"/>
        <w:ind w:left="540"/>
        <w:jc w:val="both"/>
        <w:rPr>
          <w:sz w:val="20"/>
          <w:lang w:val="es-AR"/>
        </w:rPr>
      </w:pPr>
      <w:r w:rsidRPr="00AB7B88">
        <w:rPr>
          <w:rStyle w:val="Bodytext52"/>
          <w:rFonts w:ascii="Times New Roman" w:hAnsi="Times New Roman"/>
          <w:color w:val="000000"/>
          <w:sz w:val="20"/>
          <w:lang w:val="es-AR" w:eastAsia="es-ES_tradnl"/>
        </w:rPr>
        <w:t xml:space="preserve">El Tribunal observa que, antes de analizar casos específicos, los Demandantes hicieron referencia en primer lugar a una serie de extractos doctrinales y jurisprudenciales, los cuales en realidad aluden en forma constante al </w:t>
      </w:r>
      <w:r w:rsidRPr="00AB7B88">
        <w:rPr>
          <w:rStyle w:val="Bodytext13125pt"/>
          <w:rFonts w:ascii="Times New Roman" w:hAnsi="Times New Roman"/>
          <w:b w:val="0"/>
          <w:bCs w:val="0"/>
          <w:smallCaps w:val="0"/>
          <w:color w:val="000000"/>
          <w:sz w:val="20"/>
          <w:lang w:val="es-AR" w:eastAsia="es-ES_tradnl"/>
        </w:rPr>
        <w:t>beneficial ownership:</w:t>
      </w:r>
      <w:r w:rsidRPr="00AB7B88">
        <w:rPr>
          <w:rStyle w:val="Bodytext52"/>
          <w:rFonts w:ascii="Times New Roman" w:hAnsi="Times New Roman"/>
          <w:color w:val="000000"/>
          <w:sz w:val="20"/>
          <w:lang w:val="es-AR" w:eastAsia="es-ES_tradnl"/>
        </w:rPr>
        <w:t xml:space="preserve"> "el titular real |y equitativo] de un reclamo internacional", "[c]uando se efectúa un reclamo con respecto a un bien </w:t>
      </w:r>
      <w:r w:rsidRPr="00AB7B88">
        <w:rPr>
          <w:rStyle w:val="Bodytext13125pt"/>
          <w:rFonts w:ascii="Times New Roman" w:hAnsi="Times New Roman"/>
          <w:b w:val="0"/>
          <w:bCs w:val="0"/>
          <w:smallCaps w:val="0"/>
          <w:color w:val="000000"/>
          <w:sz w:val="20"/>
          <w:lang w:val="es-AR" w:eastAsia="es-ES_tradnl"/>
        </w:rPr>
        <w:t>[beneficially owned</w:t>
      </w:r>
      <w:r w:rsidRPr="00AB7B88">
        <w:rPr>
          <w:rStyle w:val="Bodytext52"/>
          <w:rFonts w:ascii="Times New Roman" w:hAnsi="Times New Roman"/>
          <w:color w:val="000000"/>
          <w:sz w:val="20"/>
          <w:lang w:val="es-AR" w:eastAsia="es-ES_tradnl"/>
        </w:rPr>
        <w:t xml:space="preserve"> por]</w:t>
      </w:r>
      <w:r w:rsidRPr="00AB7B88">
        <w:rPr>
          <w:sz w:val="20"/>
          <w:lang w:val="es-AR"/>
        </w:rPr>
        <w:t xml:space="preserve"> </w:t>
      </w:r>
      <w:r w:rsidRPr="00AB7B88">
        <w:rPr>
          <w:rStyle w:val="Bodytext52"/>
          <w:rFonts w:ascii="Times New Roman" w:hAnsi="Times New Roman"/>
          <w:color w:val="000000"/>
          <w:sz w:val="20"/>
          <w:lang w:val="es-AR" w:eastAsia="es-ES_tradnl"/>
        </w:rPr>
        <w:t xml:space="preserve">una persona", "[e]n los casos en los que el </w:t>
      </w:r>
      <w:r w:rsidRPr="00AB7B88">
        <w:rPr>
          <w:rStyle w:val="Bodytext13125pt"/>
          <w:rFonts w:ascii="Times New Roman" w:hAnsi="Times New Roman"/>
          <w:b w:val="0"/>
          <w:bCs w:val="0"/>
          <w:smallCaps w:val="0"/>
          <w:color w:val="000000"/>
          <w:sz w:val="20"/>
          <w:lang w:val="es-AR" w:eastAsia="es-ES_tradnl"/>
        </w:rPr>
        <w:t>beneficial owner</w:t>
      </w:r>
      <w:r w:rsidRPr="00AB7B88">
        <w:rPr>
          <w:rStyle w:val="Bodytext52"/>
          <w:rFonts w:ascii="Times New Roman" w:hAnsi="Times New Roman"/>
          <w:color w:val="000000"/>
          <w:sz w:val="20"/>
          <w:lang w:val="es-AR" w:eastAsia="es-ES_tradnl"/>
        </w:rPr>
        <w:t xml:space="preserve"> de un bien", "en el caso de reclamos atinentes a un bien </w:t>
      </w:r>
      <w:r w:rsidRPr="00AB7B88">
        <w:rPr>
          <w:rStyle w:val="Bodytext13125pt"/>
          <w:rFonts w:ascii="Times New Roman" w:hAnsi="Times New Roman"/>
          <w:b w:val="0"/>
          <w:bCs w:val="0"/>
          <w:smallCaps w:val="0"/>
          <w:color w:val="000000"/>
          <w:sz w:val="20"/>
          <w:lang w:val="es-AR" w:eastAsia="es-ES_tradnl"/>
        </w:rPr>
        <w:t>[beneficially owned</w:t>
      </w:r>
      <w:r w:rsidRPr="00AB7B88">
        <w:rPr>
          <w:rStyle w:val="Bodytext52"/>
          <w:rFonts w:ascii="Times New Roman" w:hAnsi="Times New Roman"/>
          <w:color w:val="000000"/>
          <w:sz w:val="20"/>
          <w:lang w:val="es-AR" w:eastAsia="es-ES_tradnl"/>
        </w:rPr>
        <w:t xml:space="preserve"> por] una persona</w:t>
      </w:r>
      <w:r w:rsidRPr="00AB7B88">
        <w:rPr>
          <w:rStyle w:val="Bodytext52"/>
          <w:rFonts w:ascii="Times New Roman" w:hAnsi="Times New Roman"/>
          <w:color w:val="000000"/>
          <w:sz w:val="20"/>
          <w:vertAlign w:val="superscript"/>
          <w:lang w:eastAsia="es-ES_tradnl"/>
        </w:rPr>
        <w:footnoteReference w:id="303"/>
      </w:r>
      <w:r w:rsidRPr="00AB7B88">
        <w:rPr>
          <w:rStyle w:val="Bodytext52"/>
          <w:rFonts w:ascii="Times New Roman" w:hAnsi="Times New Roman"/>
          <w:color w:val="000000"/>
          <w:sz w:val="20"/>
          <w:lang w:val="es-AR" w:eastAsia="es-ES_tradnl"/>
        </w:rPr>
        <w:t xml:space="preserve">". Esta doctrina y jurisprudencia no asisten al Tribunal a distinguir el presente caso, en el que los Demandantes carecieron de </w:t>
      </w:r>
      <w:r w:rsidRPr="00AB7B88">
        <w:rPr>
          <w:rStyle w:val="Bodytext13125pt"/>
          <w:rFonts w:ascii="Times New Roman" w:hAnsi="Times New Roman"/>
          <w:b w:val="0"/>
          <w:bCs w:val="0"/>
          <w:smallCaps w:val="0"/>
          <w:color w:val="000000"/>
          <w:sz w:val="20"/>
          <w:lang w:val="es-AR" w:eastAsia="es-ES_tradnl"/>
        </w:rPr>
        <w:t>beneficial ownership</w:t>
      </w:r>
      <w:r w:rsidRPr="00AB7B88">
        <w:rPr>
          <w:rStyle w:val="Bodytext52"/>
          <w:rFonts w:ascii="Times New Roman" w:hAnsi="Times New Roman"/>
          <w:color w:val="000000"/>
          <w:sz w:val="20"/>
          <w:lang w:val="es-AR" w:eastAsia="es-ES_tradnl"/>
        </w:rPr>
        <w:t xml:space="preserve"> durante el período pertinente previo al 1 de agosto de 2016.</w:t>
      </w:r>
    </w:p>
    <w:p w14:paraId="4667650D" w14:textId="77777777" w:rsidR="003B3957" w:rsidRPr="00AB7B88" w:rsidRDefault="003B3957" w:rsidP="00B331DD">
      <w:pPr>
        <w:pStyle w:val="Bodytext1"/>
        <w:numPr>
          <w:ilvl w:val="0"/>
          <w:numId w:val="41"/>
        </w:numPr>
        <w:shd w:val="clear" w:color="auto" w:fill="auto"/>
        <w:tabs>
          <w:tab w:val="left" w:pos="758"/>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La primera serie de casos a los que se refieren los Demandantes para fundamentar su pretensión guardan relación con la nacionalidad de las reclamaciones decididas por la Comisión de Resolución de Reclamaciones Extranjeras de los EE. UU. En el caso de Richard O. Graw, el Sr. Graw era el albacea testamentario de Oscar Meyer. La reclamación versaba sobre la propiedad del Sr. Meyer en Polonia, la que había sido transferida a un tercero en el marco de la legislación nazi antisemita. La Comisión de Resolución de Reclamaciones Extranjeras de los EE. UU. decidió que "dichas transferencias eran ineficaces para despojar de su título a un demandante o a su predecesor con interés[;] por ende, [la Comisión] concluye que después de la Segunda Guerra Mundial, Oscar Meyer (ahora difunto) era efectivamente el propietario de la propiedad en cuestión</w:t>
      </w:r>
      <w:r w:rsidRPr="00AB7B88">
        <w:rPr>
          <w:rStyle w:val="Bodytext52"/>
          <w:rFonts w:ascii="Times New Roman" w:hAnsi="Times New Roman"/>
          <w:color w:val="000000"/>
          <w:sz w:val="20"/>
          <w:vertAlign w:val="superscript"/>
          <w:lang w:eastAsia="es-ES_tradnl"/>
        </w:rPr>
        <w:footnoteReference w:id="304"/>
      </w:r>
      <w:r w:rsidRPr="00AB7B88">
        <w:rPr>
          <w:rStyle w:val="Bodytext52"/>
          <w:rFonts w:ascii="Times New Roman" w:hAnsi="Times New Roman"/>
          <w:color w:val="000000"/>
          <w:sz w:val="20"/>
          <w:lang w:val="es-AR" w:eastAsia="es-ES_tradnl"/>
        </w:rPr>
        <w:t xml:space="preserve">". La Comisión recordó que había decidido en otros programas que "el carácter nacional de una reclamación debe ser determinado en referencia a la nacionalidad de los individuos que tienen un </w:t>
      </w:r>
      <w:r w:rsidRPr="00AB7B88">
        <w:rPr>
          <w:rStyle w:val="Bodytext13125pt"/>
          <w:rFonts w:ascii="Times New Roman" w:hAnsi="Times New Roman"/>
          <w:b w:val="0"/>
          <w:bCs w:val="0"/>
          <w:smallCaps w:val="0"/>
          <w:color w:val="000000"/>
          <w:sz w:val="20"/>
          <w:lang w:val="es-AR" w:eastAsia="es-ES_tradnl"/>
        </w:rPr>
        <w:t>beneficial interest</w:t>
      </w:r>
      <w:r w:rsidRPr="00AB7B88">
        <w:rPr>
          <w:rStyle w:val="Bodytext52"/>
          <w:rFonts w:ascii="Times New Roman" w:hAnsi="Times New Roman"/>
          <w:color w:val="000000"/>
          <w:sz w:val="20"/>
          <w:lang w:val="es-AR" w:eastAsia="es-ES_tradnl"/>
        </w:rPr>
        <w:t xml:space="preserve"> en la misma, en lugar de hacerlo en referencia a la nacionalidad del demandante nominativo o de registro</w:t>
      </w:r>
      <w:r w:rsidRPr="00AB7B88">
        <w:rPr>
          <w:rStyle w:val="Bodytext52"/>
          <w:rFonts w:ascii="Times New Roman" w:hAnsi="Times New Roman"/>
          <w:color w:val="000000"/>
          <w:sz w:val="20"/>
          <w:vertAlign w:val="superscript"/>
          <w:lang w:eastAsia="es-ES_tradnl"/>
        </w:rPr>
        <w:footnoteReference w:id="305"/>
      </w:r>
      <w:r w:rsidRPr="00AB7B88">
        <w:rPr>
          <w:rStyle w:val="Bodytext52"/>
          <w:rFonts w:ascii="Times New Roman" w:hAnsi="Times New Roman"/>
          <w:color w:val="000000"/>
          <w:sz w:val="20"/>
          <w:lang w:val="es-AR" w:eastAsia="es-ES_tradnl"/>
        </w:rPr>
        <w:t xml:space="preserve">". La Comisión puso de relieve que Oscar Meyer había fallecido intestado y que la reclamación se decidió conforme a la cláusula residual de su testamento a favor de sus tres hijos, uno de los cuales era nacional </w:t>
      </w:r>
      <w:r w:rsidRPr="00AB7B88">
        <w:rPr>
          <w:rStyle w:val="Bodytext52"/>
          <w:rFonts w:ascii="Times New Roman" w:hAnsi="Times New Roman"/>
          <w:color w:val="000000"/>
          <w:sz w:val="20"/>
          <w:lang w:val="es-AR" w:eastAsia="es-ES_tradnl"/>
        </w:rPr>
        <w:lastRenderedPageBreak/>
        <w:t>estadounidense y cuya reclamación fue aceptada por la Comisión. La Comisión también sostuvo que el "[d]erecho internacional exige que para que una reclamación sea indemnizable debe haber sido propiedad continua de un nacional (o nacionales) de los Estados Unidos en todo momento entre el surgimiento de la reclamación y su presentación ante el órgano jurisdiccional</w:t>
      </w:r>
      <w:r w:rsidRPr="00AB7B88">
        <w:rPr>
          <w:rStyle w:val="Bodytext52"/>
          <w:rFonts w:ascii="Times New Roman" w:hAnsi="Times New Roman"/>
          <w:color w:val="000000"/>
          <w:sz w:val="20"/>
          <w:vertAlign w:val="superscript"/>
          <w:lang w:eastAsia="es-ES_tradnl"/>
        </w:rPr>
        <w:footnoteReference w:id="306"/>
      </w:r>
      <w:r w:rsidRPr="00AB7B88">
        <w:rPr>
          <w:rStyle w:val="Bodytext52"/>
          <w:rFonts w:ascii="Times New Roman" w:hAnsi="Times New Roman"/>
          <w:color w:val="000000"/>
          <w:sz w:val="20"/>
          <w:lang w:val="es-AR" w:eastAsia="es-ES_tradnl"/>
        </w:rPr>
        <w:t xml:space="preserve">". Si bien este caso respalda la diferenciación entre propietario legal y </w:t>
      </w:r>
      <w:r w:rsidRPr="00AB7B88">
        <w:rPr>
          <w:rStyle w:val="Bodytext13125pt"/>
          <w:rFonts w:ascii="Times New Roman" w:hAnsi="Times New Roman"/>
          <w:b w:val="0"/>
          <w:bCs w:val="0"/>
          <w:smallCaps w:val="0"/>
          <w:color w:val="000000"/>
          <w:sz w:val="20"/>
          <w:lang w:val="es-AR" w:eastAsia="es-ES_tradnl"/>
        </w:rPr>
        <w:t>beneficiary in ínterest,</w:t>
      </w:r>
      <w:r w:rsidRPr="00AB7B88">
        <w:rPr>
          <w:rStyle w:val="Bodytext52"/>
          <w:rFonts w:ascii="Times New Roman" w:hAnsi="Times New Roman"/>
          <w:color w:val="000000"/>
          <w:sz w:val="20"/>
          <w:lang w:val="es-AR" w:eastAsia="es-ES_tradnl"/>
        </w:rPr>
        <w:t xml:space="preserve"> el albacea testamentario no habría tenido margen de discreción para escoger al beneficiario, que es la cuestión que debe analizar el Tribunal.</w:t>
      </w:r>
    </w:p>
    <w:p w14:paraId="079C8881" w14:textId="77777777" w:rsidR="003B3957" w:rsidRPr="00AB7B88" w:rsidRDefault="003B3957" w:rsidP="00B331DD">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el caso de </w:t>
      </w:r>
      <w:r w:rsidRPr="00AB7B88">
        <w:rPr>
          <w:rStyle w:val="Bodytext13125pt"/>
          <w:rFonts w:ascii="Times New Roman" w:hAnsi="Times New Roman"/>
          <w:b w:val="0"/>
          <w:bCs w:val="0"/>
          <w:smallCaps w:val="0"/>
          <w:color w:val="000000"/>
          <w:sz w:val="20"/>
          <w:lang w:val="es-AR" w:eastAsia="es-ES_tradnl"/>
        </w:rPr>
        <w:t>American Security &amp;</w:t>
      </w:r>
      <w:r w:rsidR="001F0A73" w:rsidRPr="00AB7B88">
        <w:rPr>
          <w:rStyle w:val="Bodytext13125pt"/>
          <w:rFonts w:ascii="Times New Roman" w:hAnsi="Times New Roman"/>
          <w:b w:val="0"/>
          <w:bCs w:val="0"/>
          <w:smallCaps w:val="0"/>
          <w:color w:val="000000"/>
          <w:sz w:val="20"/>
          <w:lang w:val="es-AR" w:eastAsia="es-ES_tradnl"/>
        </w:rPr>
        <w:t xml:space="preserve"> Trust </w:t>
      </w:r>
      <w:r w:rsidRPr="00AB7B88">
        <w:rPr>
          <w:rStyle w:val="Bodytext13125pt"/>
          <w:rFonts w:ascii="Times New Roman" w:hAnsi="Times New Roman"/>
          <w:b w:val="0"/>
          <w:bCs w:val="0"/>
          <w:smallCaps w:val="0"/>
          <w:color w:val="000000"/>
          <w:sz w:val="20"/>
          <w:lang w:val="es-AR" w:eastAsia="es-ES_tradnl"/>
        </w:rPr>
        <w:t>Co,</w:t>
      </w:r>
      <w:r w:rsidRPr="00AB7B88">
        <w:rPr>
          <w:rStyle w:val="Bodytext52"/>
          <w:rFonts w:ascii="Times New Roman" w:hAnsi="Times New Roman"/>
          <w:color w:val="000000"/>
          <w:sz w:val="20"/>
          <w:lang w:val="es-AR" w:eastAsia="es-ES_tradnl"/>
        </w:rPr>
        <w:t xml:space="preserve"> esta entidad actuaba como el </w:t>
      </w:r>
      <w:r w:rsidR="00B058CD" w:rsidRPr="00AB7B88">
        <w:rPr>
          <w:rStyle w:val="Bodytext13125pt"/>
          <w:rFonts w:ascii="Times New Roman" w:hAnsi="Times New Roman"/>
          <w:b w:val="0"/>
          <w:bCs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de un testamento. La Comisión denegó la reclamación porque "el beneficiario en cuyo beneficio actúa la demandante en esta reclamación no es nacional de los Estados Unidos</w:t>
      </w:r>
      <w:r w:rsidRPr="00AB7B88">
        <w:rPr>
          <w:rStyle w:val="Bodytext52"/>
          <w:rFonts w:ascii="Times New Roman" w:hAnsi="Times New Roman"/>
          <w:color w:val="000000"/>
          <w:sz w:val="20"/>
          <w:vertAlign w:val="superscript"/>
          <w:lang w:eastAsia="es-ES_tradnl"/>
        </w:rPr>
        <w:footnoteReference w:id="307"/>
      </w:r>
      <w:r w:rsidRPr="00AB7B88">
        <w:rPr>
          <w:rStyle w:val="Bodytext52"/>
          <w:rFonts w:ascii="Times New Roman" w:hAnsi="Times New Roman"/>
          <w:color w:val="000000"/>
          <w:sz w:val="20"/>
          <w:lang w:val="es-AR" w:eastAsia="es-ES_tradnl"/>
        </w:rPr>
        <w:t xml:space="preserve">". De igual modo, en </w:t>
      </w:r>
      <w:r w:rsidRPr="00AB7B88">
        <w:rPr>
          <w:rStyle w:val="Bodytext13125pt"/>
          <w:rFonts w:ascii="Times New Roman" w:hAnsi="Times New Roman"/>
          <w:b w:val="0"/>
          <w:bCs w:val="0"/>
          <w:smallCaps w:val="0"/>
          <w:color w:val="000000"/>
          <w:sz w:val="20"/>
          <w:lang w:val="es-AR" w:eastAsia="es-ES_tradnl"/>
        </w:rPr>
        <w:t>The Florida National Bank &amp;</w:t>
      </w:r>
      <w:r w:rsidR="001F0A73" w:rsidRPr="00AB7B88">
        <w:rPr>
          <w:rStyle w:val="Bodytext13125pt"/>
          <w:rFonts w:ascii="Times New Roman" w:hAnsi="Times New Roman"/>
          <w:b w:val="0"/>
          <w:bCs w:val="0"/>
          <w:smallCaps w:val="0"/>
          <w:color w:val="000000"/>
          <w:sz w:val="20"/>
          <w:lang w:val="es-AR" w:eastAsia="es-ES_tradnl"/>
        </w:rPr>
        <w:t xml:space="preserve"> Trust </w:t>
      </w:r>
      <w:r w:rsidRPr="00AB7B88">
        <w:rPr>
          <w:rStyle w:val="Bodytext13125pt"/>
          <w:rFonts w:ascii="Times New Roman" w:hAnsi="Times New Roman"/>
          <w:b w:val="0"/>
          <w:bCs w:val="0"/>
          <w:smallCaps w:val="0"/>
          <w:color w:val="000000"/>
          <w:sz w:val="20"/>
          <w:lang w:val="es-AR" w:eastAsia="es-ES_tradnl"/>
        </w:rPr>
        <w:t>Co.</w:t>
      </w:r>
      <w:r w:rsidRPr="00AB7B88">
        <w:rPr>
          <w:rStyle w:val="Bodytext52"/>
          <w:rFonts w:ascii="Times New Roman" w:hAnsi="Times New Roman"/>
          <w:color w:val="000000"/>
          <w:sz w:val="20"/>
          <w:lang w:val="es-AR" w:eastAsia="es-ES_tradnl"/>
        </w:rPr>
        <w:t xml:space="preserve"> la Comisión desestimó las reclamaciones de un </w:t>
      </w:r>
      <w:r w:rsidR="00B058CD" w:rsidRPr="00AB7B88">
        <w:rPr>
          <w:rStyle w:val="Bodytext13125pt"/>
          <w:rFonts w:ascii="Times New Roman" w:hAnsi="Times New Roman"/>
          <w:b w:val="0"/>
          <w:bCs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en un testamento y el administrador de una herencia porque no era posible determinar que los </w:t>
      </w:r>
      <w:r w:rsidRPr="00AB7B88">
        <w:rPr>
          <w:rStyle w:val="Bodytext13125pt"/>
          <w:rFonts w:ascii="Times New Roman" w:hAnsi="Times New Roman"/>
          <w:b w:val="0"/>
          <w:bCs w:val="0"/>
          <w:smallCaps w:val="0"/>
          <w:color w:val="000000"/>
          <w:sz w:val="20"/>
          <w:lang w:val="es-AR" w:eastAsia="es-ES_tradnl"/>
        </w:rPr>
        <w:t>beneficial owners</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ostentaban la nacionalidad estadounidense </w:t>
      </w:r>
      <w:r w:rsidRPr="00AB7B88">
        <w:rPr>
          <w:rStyle w:val="Bodytext52"/>
          <w:rFonts w:ascii="Times New Roman" w:hAnsi="Times New Roman"/>
          <w:color w:val="000000"/>
          <w:sz w:val="20"/>
          <w:vertAlign w:val="superscript"/>
          <w:lang w:eastAsia="es-ES_tradnl"/>
        </w:rPr>
        <w:footnoteReference w:id="308"/>
      </w:r>
      <w:r w:rsidRPr="00AB7B88">
        <w:rPr>
          <w:rStyle w:val="Bodytext52"/>
          <w:rFonts w:ascii="Times New Roman" w:hAnsi="Times New Roman"/>
          <w:color w:val="000000"/>
          <w:sz w:val="20"/>
          <w:lang w:val="es-AR" w:eastAsia="es-ES_tradnl"/>
        </w:rPr>
        <w:t xml:space="preserve">. Estos casos siguen la jurisprudencia de los tribunales internacionales sobre la nacionalidad de las reclamaciones. La nacionalidad determinante no es la nacionalidad del </w:t>
      </w:r>
      <w:r w:rsidR="00B058CD" w:rsidRPr="00AB7B88">
        <w:rPr>
          <w:rStyle w:val="Bodytext13125pt"/>
          <w:rFonts w:ascii="Times New Roman" w:hAnsi="Times New Roman"/>
          <w:b w:val="0"/>
          <w:bCs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o del administrador de una herencia, sino la nacionalidad de los </w:t>
      </w:r>
      <w:r w:rsidRPr="00AB7B88">
        <w:rPr>
          <w:rStyle w:val="Bodytext13125pt"/>
          <w:rFonts w:ascii="Times New Roman" w:hAnsi="Times New Roman"/>
          <w:b w:val="0"/>
          <w:bCs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El </w:t>
      </w:r>
      <w:r w:rsidR="00B058CD" w:rsidRPr="00AB7B88">
        <w:rPr>
          <w:rStyle w:val="Bodytext13125pt"/>
          <w:rFonts w:ascii="Times New Roman" w:hAnsi="Times New Roman"/>
          <w:b w:val="0"/>
          <w:bCs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en estos casos no gozaba de discrecionalidad para determinar a quién se distribuirían los bienes sino que debía seguir las instrucciones en el testamento en cuestión.</w:t>
      </w:r>
    </w:p>
    <w:p w14:paraId="1B2D7C1B" w14:textId="77777777" w:rsidR="003B3957" w:rsidRPr="00AB7B88" w:rsidRDefault="003B3957" w:rsidP="00B331DD">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caso </w:t>
      </w:r>
      <w:r w:rsidRPr="00AB7B88">
        <w:rPr>
          <w:rStyle w:val="Bodytext13125pt"/>
          <w:rFonts w:ascii="Times New Roman" w:hAnsi="Times New Roman"/>
          <w:b w:val="0"/>
          <w:bCs w:val="0"/>
          <w:smallCaps w:val="0"/>
          <w:color w:val="000000"/>
          <w:sz w:val="20"/>
          <w:lang w:val="es-AR" w:eastAsia="es-ES_tradnl"/>
        </w:rPr>
        <w:t>Binder-Haas</w:t>
      </w:r>
      <w:r w:rsidRPr="00AB7B88">
        <w:rPr>
          <w:rStyle w:val="Bodytext52"/>
          <w:rFonts w:ascii="Times New Roman" w:hAnsi="Times New Roman"/>
          <w:color w:val="000000"/>
          <w:sz w:val="20"/>
          <w:lang w:val="es-AR" w:eastAsia="es-ES_tradnl"/>
        </w:rPr>
        <w:t xml:space="preserve"> comprende la transferencia de acciones al Sr. Binder por parte de propietarios judíos de acciones de Etexco. La transferencia se concretó por medio de dos cartas dirigidas al Sr. Binder por los cuatro demandantes, en las que establecían las condiciones de la transferencia "no como propietario de hecho, sino como propietario aparente </w:t>
      </w:r>
      <w:r w:rsidRPr="00AB7B88">
        <w:rPr>
          <w:rStyle w:val="Bodytext52"/>
          <w:rFonts w:ascii="Times New Roman" w:hAnsi="Times New Roman"/>
          <w:color w:val="000000"/>
          <w:sz w:val="20"/>
          <w:vertAlign w:val="superscript"/>
          <w:lang w:eastAsia="es-ES_tradnl"/>
        </w:rPr>
        <w:footnoteReference w:id="309"/>
      </w:r>
      <w:r w:rsidRPr="00AB7B88">
        <w:rPr>
          <w:rStyle w:val="Bodytext52"/>
          <w:rFonts w:ascii="Times New Roman" w:hAnsi="Times New Roman"/>
          <w:color w:val="000000"/>
          <w:sz w:val="20"/>
          <w:lang w:val="es-AR" w:eastAsia="es-ES_tradnl"/>
        </w:rPr>
        <w:t>". Estas cartas llevan la firma de Edwin Binder como confirmación del entendimiento alcanzado, el cual comprendía un acuerdo por el que "Binder devolvería las acciones a los cuatro propietarios cuando así se lo solicitaran</w:t>
      </w:r>
      <w:r w:rsidR="009F22BD" w:rsidRPr="00AB7B88">
        <w:rPr>
          <w:rStyle w:val="Bodytext52"/>
          <w:rFonts w:ascii="Times New Roman" w:hAnsi="Times New Roman"/>
          <w:color w:val="000000"/>
          <w:sz w:val="20"/>
          <w:lang w:val="es-AR" w:eastAsia="es-ES_tradnl"/>
        </w:rPr>
        <w:t xml:space="preserve"> </w:t>
      </w:r>
      <w:r w:rsidRPr="00AB7B88">
        <w:rPr>
          <w:rStyle w:val="Bodytext52"/>
          <w:rFonts w:ascii="Times New Roman" w:hAnsi="Times New Roman"/>
          <w:color w:val="000000"/>
          <w:sz w:val="20"/>
          <w:vertAlign w:val="superscript"/>
          <w:lang w:eastAsia="es-ES_tradnl"/>
        </w:rPr>
        <w:footnoteReference w:id="310"/>
      </w:r>
      <w:r w:rsidRPr="00AB7B88">
        <w:rPr>
          <w:rStyle w:val="Bodytext52"/>
          <w:rFonts w:ascii="Times New Roman" w:hAnsi="Times New Roman"/>
          <w:color w:val="000000"/>
          <w:sz w:val="20"/>
          <w:lang w:val="es-AR" w:eastAsia="es-ES_tradnl"/>
        </w:rPr>
        <w:t xml:space="preserve">". La Comisión otorgó una indemnización a los demandantes que eran </w:t>
      </w:r>
      <w:r w:rsidRPr="00AB7B88">
        <w:rPr>
          <w:rStyle w:val="Bodytext13125pt"/>
          <w:rFonts w:ascii="Times New Roman" w:hAnsi="Times New Roman"/>
          <w:b w:val="0"/>
          <w:bCs w:val="0"/>
          <w:smallCaps w:val="0"/>
          <w:color w:val="000000"/>
          <w:sz w:val="20"/>
          <w:lang w:val="es-AR" w:eastAsia="es-ES_tradnl"/>
        </w:rPr>
        <w:t>beneficiai owners</w:t>
      </w:r>
      <w:r w:rsidRPr="00AB7B88">
        <w:rPr>
          <w:rStyle w:val="Bodytext52"/>
          <w:rFonts w:ascii="Times New Roman" w:hAnsi="Times New Roman"/>
          <w:color w:val="000000"/>
          <w:sz w:val="20"/>
          <w:lang w:val="es-AR" w:eastAsia="es-ES_tradnl"/>
        </w:rPr>
        <w:t xml:space="preserve"> y nacionales de los EE. UU. Este caso confirma una vez más la diferenciación entre </w:t>
      </w:r>
      <w:r w:rsidRPr="00AB7B88">
        <w:rPr>
          <w:rStyle w:val="Bodytext13125pt"/>
          <w:rFonts w:ascii="Times New Roman" w:hAnsi="Times New Roman"/>
          <w:b w:val="0"/>
          <w:bCs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y propietarios de un título legal y muestra que los </w:t>
      </w:r>
      <w:r w:rsidRPr="00AB7B88">
        <w:rPr>
          <w:rStyle w:val="Bodytext13125pt"/>
          <w:rFonts w:ascii="Times New Roman" w:hAnsi="Times New Roman"/>
          <w:b w:val="0"/>
          <w:bCs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tenían derechos contractuales a que se les devolvieran las acciones cuando así lo solicitaran. El ejercicio de estos derechos </w:t>
      </w:r>
      <w:r w:rsidRPr="00AB7B88">
        <w:rPr>
          <w:rStyle w:val="Bodytext52"/>
          <w:rFonts w:ascii="Times New Roman" w:hAnsi="Times New Roman"/>
          <w:color w:val="000000"/>
          <w:sz w:val="20"/>
          <w:lang w:val="es-AR" w:eastAsia="es-ES_tradnl"/>
        </w:rPr>
        <w:lastRenderedPageBreak/>
        <w:t>contractuales no estaba sujeto a ninguna condición.</w:t>
      </w:r>
    </w:p>
    <w:p w14:paraId="3AFED6F9" w14:textId="77777777" w:rsidR="003B3957" w:rsidRPr="00AB7B88" w:rsidRDefault="003B3957" w:rsidP="00D472B3">
      <w:pPr>
        <w:pStyle w:val="Bodytext1"/>
        <w:numPr>
          <w:ilvl w:val="0"/>
          <w:numId w:val="41"/>
        </w:numPr>
        <w:shd w:val="clear" w:color="auto" w:fill="auto"/>
        <w:tabs>
          <w:tab w:val="left" w:pos="758"/>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La siguiente serie de casos fue decidida por el IUSCT. En </w:t>
      </w:r>
      <w:r w:rsidRPr="00AB7B88">
        <w:rPr>
          <w:rStyle w:val="Bodytext13125pt"/>
          <w:rFonts w:ascii="Times New Roman" w:hAnsi="Times New Roman"/>
          <w:b w:val="0"/>
          <w:bCs w:val="0"/>
          <w:smallCaps w:val="0"/>
          <w:color w:val="000000"/>
          <w:sz w:val="20"/>
          <w:lang w:val="es-AR" w:eastAsia="es-ES_tradnl"/>
        </w:rPr>
        <w:t>Saghi,</w:t>
      </w:r>
      <w:r w:rsidRPr="00AB7B88">
        <w:rPr>
          <w:rStyle w:val="Bodytext52"/>
          <w:rFonts w:ascii="Times New Roman" w:hAnsi="Times New Roman"/>
          <w:color w:val="000000"/>
          <w:sz w:val="20"/>
          <w:lang w:val="es-AR" w:eastAsia="es-ES_tradnl"/>
        </w:rPr>
        <w:t xml:space="preserve"> el IUSCT decidió:</w:t>
      </w:r>
    </w:p>
    <w:p w14:paraId="5D89ED04" w14:textId="77777777" w:rsidR="003B3957" w:rsidRPr="00AB7B88" w:rsidRDefault="003B3957" w:rsidP="00D472B3">
      <w:pPr>
        <w:pStyle w:val="Bodytext1"/>
        <w:shd w:val="clear" w:color="auto" w:fill="auto"/>
        <w:spacing w:before="380" w:line="360" w:lineRule="auto"/>
        <w:ind w:left="522" w:right="301" w:firstLine="0"/>
        <w:jc w:val="both"/>
        <w:rPr>
          <w:sz w:val="20"/>
          <w:lang w:val="es-AR"/>
        </w:rPr>
      </w:pPr>
      <w:r w:rsidRPr="00AB7B88">
        <w:rPr>
          <w:rStyle w:val="Bodytext52"/>
          <w:rFonts w:ascii="Times New Roman" w:hAnsi="Times New Roman"/>
          <w:color w:val="000000"/>
          <w:sz w:val="20"/>
          <w:lang w:val="es-AR" w:eastAsia="es-ES_tradnl"/>
        </w:rPr>
        <w:t xml:space="preserve">Los Demandantes transfirieron un total de 963 acciones de N.P.I. a diecinueve de los empleados iraníes de la empresa; cada empleado recibió entre cuarenta y ocho y cincuenta y tres acciones. [...] Según los Demandantes, cada empleado recibió un préstamo de uno de los Demandantes que le permitió comprar las acciones; cada empleado entonces celebro un convenio por el que transfería efectivamente de nuevo el </w:t>
      </w:r>
      <w:r w:rsidRPr="00AB7B88">
        <w:rPr>
          <w:rStyle w:val="Bodytext13125pt"/>
          <w:rFonts w:ascii="Times New Roman" w:hAnsi="Times New Roman"/>
          <w:b w:val="0"/>
          <w:bCs w:val="0"/>
          <w:smallCaps w:val="0"/>
          <w:color w:val="000000"/>
          <w:sz w:val="20"/>
          <w:lang w:val="es-AR" w:eastAsia="es-ES_tradnl"/>
        </w:rPr>
        <w:t>beneficial ownership</w:t>
      </w:r>
      <w:r w:rsidRPr="00AB7B88">
        <w:rPr>
          <w:rStyle w:val="Bodytext52"/>
          <w:rFonts w:ascii="Times New Roman" w:hAnsi="Times New Roman"/>
          <w:color w:val="000000"/>
          <w:sz w:val="20"/>
          <w:lang w:val="es-AR" w:eastAsia="es-ES_tradnl"/>
        </w:rPr>
        <w:t xml:space="preserve"> de las acciones a uno de los Demandantes. De esta manera, James Saghi reclama el </w:t>
      </w:r>
      <w:r w:rsidRPr="00AB7B88">
        <w:rPr>
          <w:rStyle w:val="Bodytext13125pt"/>
          <w:rFonts w:ascii="Times New Roman" w:hAnsi="Times New Roman"/>
          <w:b w:val="0"/>
          <w:bCs w:val="0"/>
          <w:smallCaps w:val="0"/>
          <w:color w:val="000000"/>
          <w:sz w:val="20"/>
          <w:lang w:val="es-AR" w:eastAsia="es-ES_tradnl"/>
        </w:rPr>
        <w:t>beneficial ownership</w:t>
      </w:r>
      <w:r w:rsidRPr="00AB7B88">
        <w:rPr>
          <w:rStyle w:val="Bodytext52"/>
          <w:rFonts w:ascii="Times New Roman" w:hAnsi="Times New Roman"/>
          <w:color w:val="000000"/>
          <w:sz w:val="20"/>
          <w:lang w:val="es-AR" w:eastAsia="es-ES_tradnl"/>
        </w:rPr>
        <w:t xml:space="preserve"> de 458 acciones en tenencia nominal de nueve de los empleados, Michael Saghi reclama 150 acciones en tenencia nominal de tres empleados y Alian Saghi reclama 355 en tenencia nominal de siete empleados.</w:t>
      </w:r>
    </w:p>
    <w:p w14:paraId="0F569523" w14:textId="77777777" w:rsidR="003B3957" w:rsidRPr="00AB7B88" w:rsidRDefault="003B3957" w:rsidP="00D472B3">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w:t>
      </w:r>
    </w:p>
    <w:p w14:paraId="07A41BA9" w14:textId="77777777" w:rsidR="003B3957" w:rsidRPr="00AB7B88" w:rsidRDefault="003B3957" w:rsidP="00D472B3">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Los convenios de accionistas son idénticos en sus condiciones dispositivas: acusan recibido de un préstamo por el precio de compraventa realizado por uno de los Demandantes. Los recibos provisionales y (cuando se encuentren disponibles) los certificados de acciones quedaran en custodia de los Demandantes "hasta el reembolso pleno del (préstamo] en un período que no superará un año completo a partir de la fecha [del convenio]". Y "todas las acciones del Sr. [...] en [N.P.I.] permanecerán con el Sr. [...] Saghi hasta que se reembolse el [préstamo] </w:t>
      </w:r>
      <w:r w:rsidRPr="00AB7B88">
        <w:rPr>
          <w:rStyle w:val="Bodytext13125pt"/>
          <w:rFonts w:ascii="Times New Roman" w:hAnsi="Times New Roman"/>
          <w:b w:val="0"/>
          <w:smallCaps w:val="0"/>
          <w:color w:val="000000"/>
          <w:sz w:val="20"/>
          <w:lang w:val="es-AR" w:eastAsia="es-ES_tradnl"/>
        </w:rPr>
        <w:t>y</w:t>
      </w:r>
      <w:r w:rsidRPr="00AB7B88">
        <w:rPr>
          <w:rStyle w:val="Bodytext52"/>
          <w:rFonts w:ascii="Times New Roman" w:hAnsi="Times New Roman"/>
          <w:color w:val="000000"/>
          <w:sz w:val="20"/>
          <w:lang w:val="es-AR" w:eastAsia="es-ES_tradnl"/>
        </w:rPr>
        <w:t xml:space="preserve"> ni el Sr. [...] ni las personas que este designe pueden reclamar lo mismo en cualquier momento previo". Los accionistas otorgaron poderes irrevocables a los Demandantes, por medio de los cuales les concedieron a estos últimos, entre otras cosas, el derecho a transferir las acciones durante el período de vigencia de las deudas. Cada convenio concluía:</w:t>
      </w:r>
    </w:p>
    <w:p w14:paraId="3DC5E1DC" w14:textId="77777777" w:rsidR="003B3957" w:rsidRPr="00AB7B88" w:rsidRDefault="003B3957" w:rsidP="00D472B3">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Los derechos del Sr. [... ] Saghi al respecto serán similares y equivalentes a los del titular de dichas acciones en todos los aspectos y sin limitación y se autorizará la transferencia de (sic) todos o parte de dichos derechos a terceros. El Concedente renuncia a cualquier derecho respecto de la rescisión de dicho Poder y se compromete a no realizar ninguna actividad que pudiera impedir o limitar las autorizaciones del Poder</w:t>
      </w:r>
      <w:r w:rsidRPr="00AB7B88">
        <w:rPr>
          <w:rStyle w:val="Bodytext52"/>
          <w:rFonts w:ascii="Times New Roman" w:hAnsi="Times New Roman"/>
          <w:color w:val="000000"/>
          <w:sz w:val="20"/>
          <w:vertAlign w:val="superscript"/>
          <w:lang w:eastAsia="es-ES_tradnl"/>
        </w:rPr>
        <w:footnoteReference w:id="311"/>
      </w:r>
      <w:r w:rsidRPr="00AB7B88">
        <w:rPr>
          <w:rStyle w:val="Bodytext52"/>
          <w:rFonts w:ascii="Times New Roman" w:hAnsi="Times New Roman"/>
          <w:color w:val="000000"/>
          <w:sz w:val="20"/>
          <w:lang w:val="es-AR" w:eastAsia="es-ES_tradnl"/>
        </w:rPr>
        <w:t>.</w:t>
      </w:r>
    </w:p>
    <w:p w14:paraId="6B7688FD" w14:textId="77777777" w:rsidR="003B3957" w:rsidRPr="00AB7B88" w:rsidRDefault="003B3957" w:rsidP="00D472B3">
      <w:pPr>
        <w:pStyle w:val="Bodytext1"/>
        <w:numPr>
          <w:ilvl w:val="0"/>
          <w:numId w:val="41"/>
        </w:numPr>
        <w:shd w:val="clear" w:color="auto" w:fill="auto"/>
        <w:tabs>
          <w:tab w:val="left" w:pos="758"/>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Los </w:t>
      </w:r>
      <w:r w:rsidRPr="00AB7B88">
        <w:rPr>
          <w:rStyle w:val="Bodytext13125pt"/>
          <w:rFonts w:ascii="Times New Roman" w:hAnsi="Times New Roman"/>
          <w:b w:val="0"/>
          <w:bCs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de las acciones poseían derechos contractuales a convertir su beneficio en uno equivalente o similar al de la titularidad real y el ejercicio de estos derechos no dependía de la voluntad de un tercero.</w:t>
      </w:r>
    </w:p>
    <w:p w14:paraId="3D724A78" w14:textId="77777777" w:rsidR="003B3957" w:rsidRPr="00AB7B88" w:rsidRDefault="003B3957" w:rsidP="00D472B3">
      <w:pPr>
        <w:pStyle w:val="Bodytext1"/>
        <w:numPr>
          <w:ilvl w:val="0"/>
          <w:numId w:val="41"/>
        </w:numPr>
        <w:shd w:val="clear" w:color="auto" w:fill="auto"/>
        <w:tabs>
          <w:tab w:val="left" w:pos="758"/>
        </w:tabs>
        <w:spacing w:before="380" w:line="360" w:lineRule="auto"/>
        <w:ind w:left="522" w:hanging="522"/>
        <w:jc w:val="both"/>
        <w:rPr>
          <w:sz w:val="20"/>
        </w:rPr>
      </w:pPr>
      <w:r w:rsidRPr="00AB7B88">
        <w:rPr>
          <w:rStyle w:val="Bodytext52"/>
          <w:rFonts w:ascii="Times New Roman" w:hAnsi="Times New Roman"/>
          <w:color w:val="000000"/>
          <w:sz w:val="20"/>
          <w:lang w:val="es-AR" w:eastAsia="es-ES_tradnl"/>
        </w:rPr>
        <w:lastRenderedPageBreak/>
        <w:t xml:space="preserve">En el caso </w:t>
      </w:r>
      <w:r w:rsidRPr="00AB7B88">
        <w:rPr>
          <w:rStyle w:val="Bodytext13125pt"/>
          <w:rFonts w:ascii="Times New Roman" w:hAnsi="Times New Roman"/>
          <w:b w:val="0"/>
          <w:bCs w:val="0"/>
          <w:smallCaps w:val="0"/>
          <w:color w:val="000000"/>
          <w:sz w:val="20"/>
          <w:lang w:val="es-AR" w:eastAsia="es-ES_tradnl"/>
        </w:rPr>
        <w:t>Howard Needles,</w:t>
      </w:r>
      <w:r w:rsidRPr="00AB7B88">
        <w:rPr>
          <w:rStyle w:val="Bodytext52"/>
          <w:rFonts w:ascii="Times New Roman" w:hAnsi="Times New Roman"/>
          <w:color w:val="000000"/>
          <w:sz w:val="20"/>
          <w:lang w:val="es-AR" w:eastAsia="es-ES_tradnl"/>
        </w:rPr>
        <w:t xml:space="preserve"> Irán objetó a la jurisdicción del IUSCT. </w:t>
      </w:r>
      <w:r w:rsidRPr="00AB7B88">
        <w:rPr>
          <w:rStyle w:val="Bodytext52"/>
          <w:rFonts w:ascii="Times New Roman" w:hAnsi="Times New Roman"/>
          <w:color w:val="000000"/>
          <w:sz w:val="20"/>
          <w:lang w:eastAsia="es-ES_tradnl"/>
        </w:rPr>
        <w:t>El tribunal sostuvo:</w:t>
      </w:r>
    </w:p>
    <w:p w14:paraId="649FC179" w14:textId="77777777" w:rsidR="003B3957" w:rsidRPr="00AB7B88" w:rsidRDefault="003B3957" w:rsidP="00D472B3">
      <w:pPr>
        <w:pStyle w:val="Bodytext1"/>
        <w:shd w:val="clear" w:color="auto" w:fill="auto"/>
        <w:spacing w:before="380" w:line="360" w:lineRule="auto"/>
        <w:ind w:left="522" w:right="278" w:firstLine="0"/>
        <w:jc w:val="both"/>
        <w:rPr>
          <w:sz w:val="20"/>
          <w:lang w:val="es-AR"/>
        </w:rPr>
      </w:pPr>
      <w:r w:rsidRPr="00AB7B88">
        <w:rPr>
          <w:rStyle w:val="Bodytext52"/>
          <w:rFonts w:ascii="Times New Roman" w:hAnsi="Times New Roman"/>
          <w:color w:val="000000"/>
          <w:sz w:val="20"/>
          <w:lang w:val="es-AR" w:eastAsia="es-ES_tradnl"/>
        </w:rPr>
        <w:t xml:space="preserve">HNTB [Howard Needles Tammen &amp; Bergendorff] tiene legitimación para plantear una pretensión indirecta contra MORT sobre el Contrato a raíz de su propiedad y control de HNTB-Irán. Con arreglo al derecho de los Estados Unidos, que rige la relación de los socios individuales de HNTB con su sociedad, la propiedad adquirida con fondos de la sociedad es propiedad de la sociedad, a menos que surja una intención contraria. [...] Aquí, los socios de los EE. UU. tuvieron la intención expresa de que HNTB fuese titular de las acciones en HNTB-Irán. Incluso si esta propiedad se considerase un mero </w:t>
      </w:r>
      <w:r w:rsidRPr="00AB7B88">
        <w:rPr>
          <w:rStyle w:val="Bodytext13125pt"/>
          <w:rFonts w:ascii="Times New Roman" w:hAnsi="Times New Roman"/>
          <w:b w:val="0"/>
          <w:bCs w:val="0"/>
          <w:smallCaps w:val="0"/>
          <w:color w:val="000000"/>
          <w:sz w:val="20"/>
          <w:lang w:val="es-AR" w:eastAsia="es-ES_tradnl"/>
        </w:rPr>
        <w:t>beneficial interest,</w:t>
      </w:r>
      <w:r w:rsidRPr="00AB7B88">
        <w:rPr>
          <w:rStyle w:val="Bodytext52"/>
          <w:rFonts w:ascii="Times New Roman" w:hAnsi="Times New Roman"/>
          <w:color w:val="000000"/>
          <w:sz w:val="20"/>
          <w:lang w:val="es-AR" w:eastAsia="es-ES_tradnl"/>
        </w:rPr>
        <w:t xml:space="preserve"> el Tribunal ha reconocido la legitimación de los </w:t>
      </w:r>
      <w:r w:rsidRPr="00AB7B88">
        <w:rPr>
          <w:rStyle w:val="Bodytext13125pt"/>
          <w:rFonts w:ascii="Times New Roman" w:hAnsi="Times New Roman"/>
          <w:b w:val="0"/>
          <w:bCs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de una pretensión a plantear dicha pretensión ante el Tribunal cuando los propietarios legales son meros titulares nominales</w:t>
      </w:r>
      <w:r w:rsidRPr="00AB7B88">
        <w:rPr>
          <w:rStyle w:val="Bodytext52"/>
          <w:rFonts w:ascii="Times New Roman" w:hAnsi="Times New Roman"/>
          <w:color w:val="000000"/>
          <w:sz w:val="20"/>
          <w:vertAlign w:val="superscript"/>
          <w:lang w:eastAsia="es-ES_tradnl"/>
        </w:rPr>
        <w:footnoteReference w:id="312"/>
      </w:r>
      <w:r w:rsidRPr="00AB7B88">
        <w:rPr>
          <w:rStyle w:val="Bodytext52"/>
          <w:rFonts w:ascii="Times New Roman" w:hAnsi="Times New Roman"/>
          <w:color w:val="000000"/>
          <w:sz w:val="20"/>
          <w:lang w:val="es-AR" w:eastAsia="es-ES_tradnl"/>
        </w:rPr>
        <w:t>.</w:t>
      </w:r>
    </w:p>
    <w:p w14:paraId="5FCE1DAA" w14:textId="77777777" w:rsidR="003B3957" w:rsidRPr="00AB7B88" w:rsidRDefault="003B3957" w:rsidP="00D472B3">
      <w:pPr>
        <w:pStyle w:val="Bodytext1"/>
        <w:numPr>
          <w:ilvl w:val="0"/>
          <w:numId w:val="41"/>
        </w:numPr>
        <w:shd w:val="clear" w:color="auto" w:fill="auto"/>
        <w:tabs>
          <w:tab w:val="left" w:pos="758"/>
        </w:tabs>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Este caso co</w:t>
      </w:r>
      <w:r w:rsidRPr="00AB7B88">
        <w:rPr>
          <w:rStyle w:val="Bodytext41"/>
          <w:rFonts w:ascii="Times New Roman" w:hAnsi="Times New Roman"/>
          <w:color w:val="000000"/>
          <w:sz w:val="20"/>
          <w:u w:val="none"/>
          <w:lang w:val="es-AR" w:eastAsia="es-ES_tradnl"/>
        </w:rPr>
        <w:t>nfir</w:t>
      </w:r>
      <w:r w:rsidRPr="00AB7B88">
        <w:rPr>
          <w:rStyle w:val="Bodytext52"/>
          <w:rFonts w:ascii="Times New Roman" w:hAnsi="Times New Roman"/>
          <w:color w:val="000000"/>
          <w:sz w:val="20"/>
          <w:lang w:val="es-AR" w:eastAsia="es-ES_tradnl"/>
        </w:rPr>
        <w:t xml:space="preserve">ma que la jurisprudencia de los tribunales internacionales ha reconocido que la parte que ostenta un </w:t>
      </w:r>
      <w:r w:rsidRPr="00AB7B88">
        <w:rPr>
          <w:rStyle w:val="Bodytext13125pt"/>
          <w:rFonts w:ascii="Times New Roman" w:hAnsi="Times New Roman"/>
          <w:b w:val="0"/>
          <w:bCs w:val="0"/>
          <w:smallCaps w:val="0"/>
          <w:color w:val="000000"/>
          <w:sz w:val="20"/>
          <w:lang w:val="es-AR" w:eastAsia="es-ES_tradnl"/>
        </w:rPr>
        <w:t>beneficial interest</w:t>
      </w:r>
      <w:r w:rsidRPr="00AB7B88">
        <w:rPr>
          <w:rStyle w:val="Bodytext52"/>
          <w:rFonts w:ascii="Times New Roman" w:hAnsi="Times New Roman"/>
          <w:color w:val="000000"/>
          <w:sz w:val="20"/>
          <w:lang w:val="es-AR" w:eastAsia="es-ES_tradnl"/>
        </w:rPr>
        <w:t xml:space="preserve"> es la parte con legitimación para plantear una pretensión, pero no es fuente que permita sostener que un titular de un </w:t>
      </w:r>
      <w:r w:rsidRPr="00AB7B88">
        <w:rPr>
          <w:rStyle w:val="Bodytext13125pt"/>
          <w:rFonts w:ascii="Times New Roman" w:hAnsi="Times New Roman"/>
          <w:b w:val="0"/>
          <w:bCs w:val="0"/>
          <w:smallCaps w:val="0"/>
          <w:color w:val="000000"/>
          <w:sz w:val="20"/>
          <w:lang w:val="es-AR" w:eastAsia="es-ES_tradnl"/>
        </w:rPr>
        <w:t>discretionary beneficial interest</w:t>
      </w:r>
      <w:r w:rsidRPr="00AB7B88">
        <w:rPr>
          <w:rStyle w:val="Bodytext52"/>
          <w:rFonts w:ascii="Times New Roman" w:hAnsi="Times New Roman"/>
          <w:color w:val="000000"/>
          <w:sz w:val="20"/>
          <w:lang w:val="es-AR" w:eastAsia="es-ES_tradnl"/>
        </w:rPr>
        <w:t xml:space="preserve"> posee dicha legitimación. Conforme fue decidido por el tribunal en este caso, la legitimación del demandante se fundó en su propiedad y control de HNTB-lrán.</w:t>
      </w:r>
    </w:p>
    <w:p w14:paraId="0154F361" w14:textId="77777777" w:rsidR="003B3957" w:rsidRPr="00AB7B88" w:rsidRDefault="003B3957" w:rsidP="00D472B3">
      <w:pPr>
        <w:pStyle w:val="Bodytext1"/>
        <w:numPr>
          <w:ilvl w:val="0"/>
          <w:numId w:val="41"/>
        </w:numPr>
        <w:shd w:val="clear" w:color="auto" w:fill="auto"/>
        <w:spacing w:before="380" w:line="360" w:lineRule="auto"/>
        <w:ind w:left="522" w:hanging="522"/>
        <w:jc w:val="both"/>
        <w:rPr>
          <w:sz w:val="20"/>
        </w:rPr>
      </w:pPr>
      <w:r w:rsidRPr="00AB7B88">
        <w:rPr>
          <w:rStyle w:val="Bodytext52"/>
          <w:rFonts w:ascii="Times New Roman" w:hAnsi="Times New Roman"/>
          <w:color w:val="000000"/>
          <w:sz w:val="20"/>
          <w:lang w:val="es-AR" w:eastAsia="es-ES_tradnl"/>
        </w:rPr>
        <w:t xml:space="preserve">El caso </w:t>
      </w:r>
      <w:r w:rsidRPr="00AB7B88">
        <w:rPr>
          <w:rStyle w:val="Bodytext13125pt"/>
          <w:rFonts w:ascii="Times New Roman" w:hAnsi="Times New Roman"/>
          <w:b w:val="0"/>
          <w:bCs w:val="0"/>
          <w:smallCaps w:val="0"/>
          <w:color w:val="000000"/>
          <w:sz w:val="20"/>
          <w:lang w:val="es-AR" w:eastAsia="es-ES_tradnl"/>
        </w:rPr>
        <w:t>International Technical Products</w:t>
      </w:r>
      <w:r w:rsidRPr="00AB7B88">
        <w:rPr>
          <w:rStyle w:val="Bodytext52"/>
          <w:rFonts w:ascii="Times New Roman" w:hAnsi="Times New Roman"/>
          <w:color w:val="000000"/>
          <w:sz w:val="20"/>
          <w:lang w:val="es-AR" w:eastAsia="es-ES_tradnl"/>
        </w:rPr>
        <w:t xml:space="preserve"> es el tercer caso del IUSCT al que se remitieron los Demandantes. </w:t>
      </w:r>
      <w:r w:rsidRPr="00AB7B88">
        <w:rPr>
          <w:rStyle w:val="Bodytext52"/>
          <w:rFonts w:ascii="Times New Roman" w:hAnsi="Times New Roman"/>
          <w:color w:val="000000"/>
          <w:sz w:val="20"/>
          <w:lang w:eastAsia="es-ES_tradnl"/>
        </w:rPr>
        <w:t>El tribunal concluyó:</w:t>
      </w:r>
    </w:p>
    <w:p w14:paraId="330983F1" w14:textId="77777777" w:rsidR="003B3957" w:rsidRPr="00AB7B88" w:rsidRDefault="003B3957" w:rsidP="00D472B3">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 en todos los momentos anteriores al 14 de diciembre de 1978 los Demandantes </w:t>
      </w:r>
      <w:r w:rsidRPr="00AB7B88">
        <w:rPr>
          <w:rStyle w:val="Bodytext13125pt"/>
          <w:rFonts w:ascii="Times New Roman" w:hAnsi="Times New Roman"/>
          <w:b w:val="0"/>
          <w:smallCaps w:val="0"/>
          <w:color w:val="000000"/>
          <w:sz w:val="20"/>
          <w:lang w:val="es-AR" w:eastAsia="es-ES_tradnl"/>
        </w:rPr>
        <w:t>beneficially owned,</w:t>
      </w:r>
      <w:r w:rsidRPr="00AB7B88">
        <w:rPr>
          <w:rStyle w:val="Bodytext52"/>
          <w:rFonts w:ascii="Times New Roman" w:hAnsi="Times New Roman"/>
          <w:color w:val="000000"/>
          <w:sz w:val="20"/>
          <w:lang w:val="es-AR" w:eastAsia="es-ES_tradnl"/>
        </w:rPr>
        <w:t xml:space="preserve"> por completo, </w:t>
      </w:r>
      <w:r w:rsidRPr="00AB7B88">
        <w:rPr>
          <w:rStyle w:val="Bodytext13125pt"/>
          <w:rFonts w:ascii="Times New Roman" w:hAnsi="Times New Roman"/>
          <w:b w:val="0"/>
          <w:smallCaps w:val="0"/>
          <w:color w:val="000000"/>
          <w:sz w:val="20"/>
          <w:lang w:val="es-AR" w:eastAsia="es-ES_tradnl"/>
        </w:rPr>
        <w:t>Mitchel and Roberts, y</w:t>
      </w:r>
      <w:r w:rsidRPr="00AB7B88">
        <w:rPr>
          <w:rStyle w:val="Bodytext52"/>
          <w:rFonts w:ascii="Times New Roman" w:hAnsi="Times New Roman"/>
          <w:color w:val="000000"/>
          <w:sz w:val="20"/>
          <w:lang w:val="es-AR" w:eastAsia="es-ES_tradnl"/>
        </w:rPr>
        <w:t xml:space="preserve"> con ello el mismo inmueble en cuestión, pues los medios de prueba indican que </w:t>
      </w:r>
      <w:r w:rsidRPr="00AB7B88">
        <w:rPr>
          <w:rStyle w:val="Bodytext13125pt"/>
          <w:rFonts w:ascii="Times New Roman" w:hAnsi="Times New Roman"/>
          <w:b w:val="0"/>
          <w:smallCaps w:val="0"/>
          <w:color w:val="000000"/>
          <w:sz w:val="20"/>
          <w:lang w:val="es-AR" w:eastAsia="es-ES_tradnl"/>
        </w:rPr>
        <w:t>Mitchel and Roberts</w:t>
      </w:r>
      <w:r w:rsidRPr="00AB7B88">
        <w:rPr>
          <w:rStyle w:val="Bodytext52"/>
          <w:rFonts w:ascii="Times New Roman" w:hAnsi="Times New Roman"/>
          <w:color w:val="000000"/>
          <w:sz w:val="20"/>
          <w:lang w:val="es-AR" w:eastAsia="es-ES_tradnl"/>
        </w:rPr>
        <w:t xml:space="preserve"> no poseía activos o pasivos adicionales, más que la hipoteca, y que </w:t>
      </w:r>
      <w:r w:rsidRPr="00AB7B88">
        <w:rPr>
          <w:rStyle w:val="Bodytext13125pt"/>
          <w:rFonts w:ascii="Times New Roman" w:hAnsi="Times New Roman"/>
          <w:b w:val="0"/>
          <w:smallCaps w:val="0"/>
          <w:color w:val="000000"/>
          <w:sz w:val="20"/>
          <w:lang w:val="es-AR" w:eastAsia="es-ES_tradnl"/>
        </w:rPr>
        <w:t>Mitchel and Roberts</w:t>
      </w:r>
      <w:r w:rsidRPr="00AB7B88">
        <w:rPr>
          <w:rStyle w:val="Bodytext52"/>
          <w:rFonts w:ascii="Times New Roman" w:hAnsi="Times New Roman"/>
          <w:color w:val="000000"/>
          <w:sz w:val="20"/>
          <w:lang w:val="es-AR" w:eastAsia="es-ES_tradnl"/>
        </w:rPr>
        <w:t xml:space="preserve"> se creó únicamente para ostentar el título de propiedad del edificio. Con posterioridad a esa techa, los Demandantes también fueron titulares legales de al menos 89 de las 106 acciones de </w:t>
      </w:r>
      <w:r w:rsidRPr="00AB7B88">
        <w:rPr>
          <w:rStyle w:val="Bodytext13125pt"/>
          <w:rFonts w:ascii="Times New Roman" w:hAnsi="Times New Roman"/>
          <w:b w:val="0"/>
          <w:smallCaps w:val="0"/>
          <w:color w:val="000000"/>
          <w:sz w:val="20"/>
          <w:lang w:val="es-AR" w:eastAsia="es-ES_tradnl"/>
        </w:rPr>
        <w:t>Mitchel and Roberts.</w:t>
      </w:r>
      <w:r w:rsidRPr="00AB7B88">
        <w:rPr>
          <w:rStyle w:val="Bodytext52"/>
          <w:rFonts w:ascii="Times New Roman" w:hAnsi="Times New Roman"/>
          <w:color w:val="000000"/>
          <w:sz w:val="20"/>
          <w:lang w:val="es-AR" w:eastAsia="es-ES_tradnl"/>
        </w:rPr>
        <w:t xml:space="preserve"> El Tribunal también concluye que el Sr. Patrick fue, en todo momento, ciudadano de los Estados Unidos</w:t>
      </w:r>
      <w:r w:rsidRPr="00AB7B88">
        <w:rPr>
          <w:rStyle w:val="Bodytext52"/>
          <w:rFonts w:ascii="Times New Roman" w:hAnsi="Times New Roman"/>
          <w:color w:val="000000"/>
          <w:sz w:val="20"/>
          <w:vertAlign w:val="superscript"/>
          <w:lang w:eastAsia="es-ES_tradnl"/>
        </w:rPr>
        <w:footnoteReference w:id="313"/>
      </w:r>
      <w:r w:rsidRPr="00AB7B88">
        <w:rPr>
          <w:rStyle w:val="Bodytext52"/>
          <w:rFonts w:ascii="Times New Roman" w:hAnsi="Times New Roman"/>
          <w:color w:val="000000"/>
          <w:sz w:val="20"/>
          <w:lang w:val="es-AR" w:eastAsia="es-ES_tradnl"/>
        </w:rPr>
        <w:t>.</w:t>
      </w:r>
    </w:p>
    <w:p w14:paraId="0F1774C5" w14:textId="77777777" w:rsidR="003B3957" w:rsidRPr="00AB7B88" w:rsidRDefault="003B3957" w:rsidP="00D472B3">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tribunal estableció que los "Demandantes, por virtud de su </w:t>
      </w:r>
      <w:r w:rsidRPr="00AB7B88">
        <w:rPr>
          <w:rStyle w:val="Bodytext13125pt"/>
          <w:rFonts w:ascii="Times New Roman" w:hAnsi="Times New Roman"/>
          <w:b w:val="0"/>
          <w:smallCaps w:val="0"/>
          <w:color w:val="000000"/>
          <w:sz w:val="20"/>
          <w:lang w:val="es-AR" w:eastAsia="es-ES_tradnl"/>
        </w:rPr>
        <w:t>beneficial ownership</w:t>
      </w:r>
      <w:r w:rsidRPr="00AB7B88">
        <w:rPr>
          <w:rStyle w:val="Bodytext52"/>
          <w:rFonts w:ascii="Times New Roman" w:hAnsi="Times New Roman"/>
          <w:color w:val="000000"/>
          <w:sz w:val="20"/>
          <w:lang w:val="es-AR" w:eastAsia="es-ES_tradnl"/>
        </w:rPr>
        <w:t xml:space="preserve"> del 100 por ciento en </w:t>
      </w:r>
      <w:r w:rsidRPr="00AB7B88">
        <w:rPr>
          <w:rStyle w:val="Bodytext13125pt"/>
          <w:rFonts w:ascii="Times New Roman" w:hAnsi="Times New Roman"/>
          <w:b w:val="0"/>
          <w:smallCaps w:val="0"/>
          <w:color w:val="000000"/>
          <w:sz w:val="20"/>
          <w:lang w:val="es-AR" w:eastAsia="es-ES_tradnl"/>
        </w:rPr>
        <w:t>Mitchel and Roberts</w:t>
      </w:r>
      <w:r w:rsidRPr="00AB7B88">
        <w:rPr>
          <w:rStyle w:val="Bodytext52"/>
          <w:rFonts w:ascii="Times New Roman" w:hAnsi="Times New Roman"/>
          <w:color w:val="000000"/>
          <w:sz w:val="20"/>
          <w:lang w:val="es-AR" w:eastAsia="es-ES_tradnl"/>
        </w:rPr>
        <w:t xml:space="preserve"> antes y a partir del 14 de diciembre de 1978, y de su titularidadlegal de al menos 89 por ciento de las acciones de la empresa desde aquel momento en adelante. son propietarios indirectos, según el </w:t>
      </w:r>
      <w:r w:rsidRPr="00AB7B88">
        <w:rPr>
          <w:rStyle w:val="Bodytext52"/>
          <w:rFonts w:ascii="Times New Roman" w:hAnsi="Times New Roman"/>
          <w:color w:val="000000"/>
          <w:sz w:val="20"/>
          <w:lang w:val="es-AR" w:eastAsia="es-ES_tradnl"/>
        </w:rPr>
        <w:lastRenderedPageBreak/>
        <w:t>significado de este párrafo, de la pretensión que aquí entablan</w:t>
      </w:r>
      <w:r w:rsidRPr="00AB7B88">
        <w:rPr>
          <w:rStyle w:val="Bodytext52"/>
          <w:rFonts w:ascii="Times New Roman" w:hAnsi="Times New Roman"/>
          <w:color w:val="000000"/>
          <w:sz w:val="20"/>
          <w:vertAlign w:val="superscript"/>
          <w:lang w:eastAsia="es-ES_tradnl"/>
        </w:rPr>
        <w:footnoteReference w:id="314"/>
      </w:r>
      <w:r w:rsidRPr="00AB7B88">
        <w:rPr>
          <w:rStyle w:val="Bodytext52"/>
          <w:rFonts w:ascii="Times New Roman" w:hAnsi="Times New Roman"/>
          <w:color w:val="000000"/>
          <w:sz w:val="20"/>
          <w:lang w:val="es-AR" w:eastAsia="es-ES_tradnl"/>
        </w:rPr>
        <w:t>".</w:t>
      </w:r>
    </w:p>
    <w:p w14:paraId="11E75BBC" w14:textId="77777777" w:rsidR="003B3957" w:rsidRPr="00AB7B88" w:rsidRDefault="003B3957" w:rsidP="00D472B3">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conclusión. la jurisprudencia del IUSCT demuestra que "el Tribunal ha dado preferencia al </w:t>
      </w:r>
      <w:r w:rsidRPr="00AB7B88">
        <w:rPr>
          <w:rStyle w:val="Bodytext13125pt"/>
          <w:rFonts w:ascii="Times New Roman" w:hAnsi="Times New Roman"/>
          <w:b w:val="0"/>
          <w:smallCaps w:val="0"/>
          <w:color w:val="000000"/>
          <w:sz w:val="20"/>
          <w:lang w:val="es-AR" w:eastAsia="es-ES_tradnl"/>
        </w:rPr>
        <w:t>beneficial ownership</w:t>
      </w:r>
      <w:r w:rsidRPr="00AB7B88">
        <w:rPr>
          <w:rStyle w:val="Bodytext52"/>
          <w:rFonts w:ascii="Times New Roman" w:hAnsi="Times New Roman"/>
          <w:color w:val="000000"/>
          <w:sz w:val="20"/>
          <w:lang w:val="es-AR" w:eastAsia="es-ES_tradnl"/>
        </w:rPr>
        <w:t xml:space="preserve"> sobre la titularidad nominal de bienes con diferentes fines [...] Los laudos del</w:t>
      </w:r>
      <w:r w:rsidR="006249D5" w:rsidRPr="00AB7B88">
        <w:rPr>
          <w:sz w:val="20"/>
          <w:lang w:val="es-AR"/>
        </w:rPr>
        <w:t xml:space="preserve"> </w:t>
      </w:r>
      <w:r w:rsidRPr="00AB7B88">
        <w:rPr>
          <w:rStyle w:val="Bodytext52"/>
          <w:rFonts w:ascii="Times New Roman" w:hAnsi="Times New Roman"/>
          <w:color w:val="000000"/>
          <w:sz w:val="20"/>
          <w:lang w:val="es-AR" w:eastAsia="es-ES_tradnl"/>
        </w:rPr>
        <w:t xml:space="preserve">Tribunal han reconocido que el </w:t>
      </w:r>
      <w:r w:rsidRPr="00AB7B88">
        <w:rPr>
          <w:rStyle w:val="Bodytext13125pt"/>
          <w:rFonts w:ascii="Times New Roman" w:hAnsi="Times New Roman"/>
          <w:b w:val="0"/>
          <w:smallCaps w:val="0"/>
          <w:color w:val="000000"/>
          <w:sz w:val="20"/>
          <w:lang w:val="es-AR" w:eastAsia="es-ES_tradnl"/>
        </w:rPr>
        <w:t>beneficial ownership</w:t>
      </w:r>
      <w:r w:rsidRPr="00AB7B88">
        <w:rPr>
          <w:rStyle w:val="Bodytext52"/>
          <w:rFonts w:ascii="Times New Roman" w:hAnsi="Times New Roman"/>
          <w:color w:val="000000"/>
          <w:sz w:val="20"/>
          <w:lang w:val="es-AR" w:eastAsia="es-ES_tradnl"/>
        </w:rPr>
        <w:t xml:space="preserve"> es tanto un método para el ejercicio de control sobre la propiedad como un derecho de propiedad susceptible de compensación en sí mismo</w:t>
      </w:r>
      <w:r w:rsidRPr="00AB7B88">
        <w:rPr>
          <w:rStyle w:val="Bodytext52"/>
          <w:rFonts w:ascii="Times New Roman" w:hAnsi="Times New Roman"/>
          <w:color w:val="000000"/>
          <w:sz w:val="20"/>
          <w:vertAlign w:val="superscript"/>
          <w:lang w:eastAsia="es-ES_tradnl"/>
        </w:rPr>
        <w:footnoteReference w:id="315"/>
      </w:r>
      <w:r w:rsidRPr="00AB7B88">
        <w:rPr>
          <w:rStyle w:val="Bodytext52"/>
          <w:rFonts w:ascii="Times New Roman" w:hAnsi="Times New Roman"/>
          <w:color w:val="000000"/>
          <w:sz w:val="20"/>
          <w:lang w:val="es-AR" w:eastAsia="es-ES_tradnl"/>
        </w:rPr>
        <w:t>".</w:t>
      </w:r>
    </w:p>
    <w:p w14:paraId="73B6F2EE" w14:textId="77777777" w:rsidR="003B3957" w:rsidRPr="00AB7B88" w:rsidRDefault="003B3957" w:rsidP="00D472B3">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Tribunal abordará ahora los casos relativos a tratados de inversión que' han sido analizados por las Partes. Para los Demandantes, la decisión de anulación en </w:t>
      </w:r>
      <w:r w:rsidRPr="00AB7B88">
        <w:rPr>
          <w:rStyle w:val="Bodytext13125pt"/>
          <w:rFonts w:ascii="Times New Roman" w:hAnsi="Times New Roman"/>
          <w:b w:val="0"/>
          <w:smallCaps w:val="0"/>
          <w:color w:val="000000"/>
          <w:sz w:val="20"/>
          <w:lang w:val="es-AR" w:eastAsia="es-ES_tradnl"/>
        </w:rPr>
        <w:t>Occidental</w:t>
      </w:r>
      <w:r w:rsidRPr="00AB7B88">
        <w:rPr>
          <w:rStyle w:val="Bodytext52"/>
          <w:rFonts w:ascii="Times New Roman" w:hAnsi="Times New Roman"/>
          <w:color w:val="000000"/>
          <w:sz w:val="20"/>
          <w:lang w:val="es-AR" w:eastAsia="es-ES_tradnl"/>
        </w:rPr>
        <w:t xml:space="preserve"> es un ejemplo de una norma del derecho internacional que confiere preferencia al beneficiario y no a quien ostenta un título legal. En el mencionado caso, y conforme lo describe el comité de anulación:</w:t>
      </w:r>
    </w:p>
    <w:p w14:paraId="4C927C6C" w14:textId="77777777" w:rsidR="003B3957" w:rsidRPr="00AB7B88" w:rsidRDefault="003B3957" w:rsidP="00D472B3">
      <w:pPr>
        <w:pStyle w:val="Bodytext1"/>
        <w:shd w:val="clear" w:color="auto" w:fill="auto"/>
        <w:spacing w:before="380" w:after="180" w:line="360" w:lineRule="auto"/>
        <w:ind w:left="522" w:right="278" w:firstLine="0"/>
        <w:jc w:val="both"/>
        <w:rPr>
          <w:sz w:val="20"/>
          <w:lang w:val="es-AR"/>
        </w:rPr>
      </w:pPr>
      <w:r w:rsidRPr="00AB7B88">
        <w:rPr>
          <w:rStyle w:val="Bodytext52"/>
          <w:rFonts w:ascii="Times New Roman" w:hAnsi="Times New Roman"/>
          <w:color w:val="000000"/>
          <w:sz w:val="20"/>
          <w:lang w:val="es-AR" w:eastAsia="es-ES_tradnl"/>
        </w:rPr>
        <w:t>Aunque los Acuerdos Farmout preveían una transferencia de propiedad, la transferencia estaba planeada para que ocurriera en dos etapas y se acordó que AEC tan solo adquiriría la titularidad legal de su participación del 40% en la Propiedad Farmout en una segunda etapa. Durante la primera etapa (que es la única relevante, porque fue durante esa etapa cuando se emitió el Decreto de Caducidad) las partes acordaron en la cláusula 2.01 del Acuerdo Farmout que la titularidad del 40% del interés en la Propiedad Farmout estaría dividida entre:</w:t>
      </w:r>
    </w:p>
    <w:p w14:paraId="2ABC294E" w14:textId="77777777" w:rsidR="003B3957" w:rsidRPr="00AB7B88" w:rsidRDefault="003B3957" w:rsidP="00D472B3">
      <w:pPr>
        <w:pStyle w:val="Bodytext1"/>
        <w:numPr>
          <w:ilvl w:val="0"/>
          <w:numId w:val="51"/>
        </w:numPr>
        <w:shd w:val="clear" w:color="auto" w:fill="auto"/>
        <w:tabs>
          <w:tab w:val="left" w:pos="870"/>
        </w:tabs>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AEC, que había pagado la contraprestación por la adquisición de la propiedad, sería el </w:t>
      </w:r>
      <w:r w:rsidRPr="00AB7B88">
        <w:rPr>
          <w:rStyle w:val="Bodytext13125pt"/>
          <w:rFonts w:ascii="Times New Roman" w:hAnsi="Times New Roman"/>
          <w:b w:val="0"/>
          <w:smallCaps w:val="0"/>
          <w:color w:val="000000"/>
          <w:sz w:val="20"/>
          <w:lang w:val="es-AR" w:eastAsia="es-ES_tradnl"/>
        </w:rPr>
        <w:t>"beneficial owner"</w:t>
      </w:r>
      <w:r w:rsidRPr="00AB7B88">
        <w:rPr>
          <w:rStyle w:val="Bodytext52"/>
          <w:rFonts w:ascii="Times New Roman" w:hAnsi="Times New Roman"/>
          <w:color w:val="000000"/>
          <w:sz w:val="20"/>
          <w:lang w:val="es-AR" w:eastAsia="es-ES_tradnl"/>
        </w:rPr>
        <w:t xml:space="preserve"> de su parte de la Propiedad Farmout;</w:t>
      </w:r>
    </w:p>
    <w:p w14:paraId="0F8968A9" w14:textId="77777777" w:rsidR="003B3957" w:rsidRPr="00AB7B88" w:rsidRDefault="003B3957" w:rsidP="00D472B3">
      <w:pPr>
        <w:pStyle w:val="Bodytext1"/>
        <w:numPr>
          <w:ilvl w:val="0"/>
          <w:numId w:val="51"/>
        </w:numPr>
        <w:shd w:val="clear" w:color="auto" w:fill="auto"/>
        <w:tabs>
          <w:tab w:val="left" w:pos="875"/>
        </w:tabs>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Por su parte OEPC actuaría como "fiduciario" en beneficio de AEC, apareciendo como propietaria formal frente a terceras partes (entre estas, la administración pública ecuatoriana).</w:t>
      </w:r>
    </w:p>
    <w:p w14:paraId="2580CE46" w14:textId="77777777" w:rsidR="003B3957" w:rsidRPr="00AB7B88" w:rsidRDefault="003B3957" w:rsidP="00D472B3">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La titularidad de la propiedad quedó así dividida entre un fiduciario (OEPC, que mantenía la titularidad legal en nombre del </w:t>
      </w:r>
      <w:r w:rsidRPr="00AB7B88">
        <w:rPr>
          <w:rStyle w:val="Bodytext13125pt"/>
          <w:rFonts w:ascii="Times New Roman" w:hAnsi="Times New Roman"/>
          <w:b w:val="0"/>
          <w:smallCaps w:val="0"/>
          <w:color w:val="000000"/>
          <w:sz w:val="20"/>
          <w:lang w:val="es-AR" w:eastAsia="es-ES_tradnl"/>
        </w:rPr>
        <w:t>beneficial owner)</w:t>
      </w:r>
      <w:r w:rsidRPr="00AB7B88">
        <w:rPr>
          <w:rStyle w:val="Bodytext52"/>
          <w:rFonts w:ascii="Times New Roman" w:hAnsi="Times New Roman"/>
          <w:color w:val="000000"/>
          <w:sz w:val="20"/>
          <w:lang w:val="es-AR" w:eastAsia="es-ES_tradnl"/>
        </w:rPr>
        <w:t xml:space="preserve"> y un </w:t>
      </w:r>
      <w:r w:rsidRPr="00AB7B88">
        <w:rPr>
          <w:rStyle w:val="Bodytext13125pt"/>
          <w:rFonts w:ascii="Times New Roman" w:hAnsi="Times New Roman"/>
          <w:b w:val="0"/>
          <w:smallCaps w:val="0"/>
          <w:color w:val="000000"/>
          <w:sz w:val="20"/>
          <w:lang w:val="es-AR" w:eastAsia="es-ES_tradnl"/>
        </w:rPr>
        <w:t>beneficial owner</w:t>
      </w:r>
      <w:r w:rsidRPr="00AB7B88">
        <w:rPr>
          <w:rStyle w:val="Bodytext52"/>
          <w:rFonts w:ascii="Times New Roman" w:hAnsi="Times New Roman"/>
          <w:color w:val="000000"/>
          <w:sz w:val="20"/>
          <w:lang w:val="es-AR" w:eastAsia="es-ES_tradnl"/>
        </w:rPr>
        <w:t xml:space="preserve"> (AEC, quien asumía los costes, ganancias, riesgos y retornos de la propiedad; cuyas instrucciones el fiduciario acordó seguir, y quien controlaba así su participación en la inversión</w:t>
      </w:r>
      <w:r w:rsidRPr="00AB7B88">
        <w:rPr>
          <w:rStyle w:val="Bodytext52"/>
          <w:rFonts w:ascii="Times New Roman" w:hAnsi="Times New Roman"/>
          <w:color w:val="000000"/>
          <w:sz w:val="20"/>
          <w:vertAlign w:val="superscript"/>
          <w:lang w:eastAsia="es-ES_tradnl"/>
        </w:rPr>
        <w:footnoteReference w:id="316"/>
      </w:r>
      <w:r w:rsidRPr="00AB7B88">
        <w:rPr>
          <w:rStyle w:val="Bodytext52"/>
          <w:rFonts w:ascii="Times New Roman" w:hAnsi="Times New Roman"/>
          <w:color w:val="000000"/>
          <w:sz w:val="20"/>
          <w:lang w:val="es-AR" w:eastAsia="es-ES_tradnl"/>
        </w:rPr>
        <w:t>.</w:t>
      </w:r>
    </w:p>
    <w:p w14:paraId="597613B8" w14:textId="77777777" w:rsidR="003B3957" w:rsidRPr="00AB7B88" w:rsidRDefault="003B3957" w:rsidP="00B66C19">
      <w:pPr>
        <w:pStyle w:val="Bodytext1"/>
        <w:numPr>
          <w:ilvl w:val="0"/>
          <w:numId w:val="41"/>
        </w:numPr>
        <w:shd w:val="clear" w:color="auto" w:fill="auto"/>
        <w:spacing w:before="380" w:line="360" w:lineRule="auto"/>
        <w:ind w:left="522" w:hanging="522"/>
        <w:jc w:val="both"/>
        <w:rPr>
          <w:sz w:val="20"/>
        </w:rPr>
      </w:pPr>
      <w:r w:rsidRPr="00AB7B88">
        <w:rPr>
          <w:rStyle w:val="Bodytext52"/>
          <w:rFonts w:ascii="Times New Roman" w:hAnsi="Times New Roman"/>
          <w:color w:val="000000"/>
          <w:sz w:val="20"/>
          <w:lang w:eastAsia="es-ES_tradnl"/>
        </w:rPr>
        <w:lastRenderedPageBreak/>
        <w:t>El comité añade:</w:t>
      </w:r>
    </w:p>
    <w:p w14:paraId="21DF4DD7" w14:textId="77777777" w:rsidR="003B3957" w:rsidRPr="00AB7B88" w:rsidRDefault="003B3957" w:rsidP="00B66C19">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Esta postura, en lo relativo al </w:t>
      </w:r>
      <w:r w:rsidRPr="00AB7B88">
        <w:rPr>
          <w:rStyle w:val="Bodytext13125pt"/>
          <w:rFonts w:ascii="Times New Roman" w:hAnsi="Times New Roman"/>
          <w:b w:val="0"/>
          <w:smallCaps w:val="0"/>
          <w:color w:val="000000"/>
          <w:sz w:val="20"/>
          <w:lang w:val="es-AR" w:eastAsia="es-ES_tradnl"/>
        </w:rPr>
        <w:t>beneficial ownership,</w:t>
      </w:r>
      <w:r w:rsidRPr="00AB7B88">
        <w:rPr>
          <w:rStyle w:val="Bodytext52"/>
          <w:rFonts w:ascii="Times New Roman" w:hAnsi="Times New Roman"/>
          <w:color w:val="000000"/>
          <w:sz w:val="20"/>
          <w:lang w:val="es-AR" w:eastAsia="es-ES_tradnl"/>
        </w:rPr>
        <w:t xml:space="preserve"> es reflejo de un principio más general del derecho internacional sobre inversiones: a los demandantes solamente se les permite presentar demandas, hechas en su propio beneficio, pero no aquéllas presentadas como fiduciarias, agentes</w:t>
      </w:r>
      <w:r w:rsidR="00E130D9" w:rsidRPr="00AB7B88">
        <w:rPr>
          <w:sz w:val="20"/>
          <w:lang w:val="es-AR"/>
        </w:rPr>
        <w:t xml:space="preserve"> </w:t>
      </w:r>
      <w:r w:rsidRPr="00AB7B88">
        <w:rPr>
          <w:rStyle w:val="Bodytext52"/>
          <w:rFonts w:ascii="Times New Roman" w:hAnsi="Times New Roman"/>
          <w:color w:val="000000"/>
          <w:sz w:val="20"/>
          <w:lang w:val="es-AR" w:eastAsia="es-ES_tradnl"/>
        </w:rPr>
        <w:t>o</w:t>
      </w:r>
      <w:r w:rsidR="00E130D9" w:rsidRPr="00AB7B88">
        <w:rPr>
          <w:rStyle w:val="Bodytext52"/>
          <w:rFonts w:ascii="Times New Roman" w:hAnsi="Times New Roman"/>
          <w:color w:val="000000"/>
          <w:sz w:val="20"/>
          <w:lang w:val="es-AR" w:eastAsia="es-ES_tradnl"/>
        </w:rPr>
        <w:t xml:space="preserve"> </w:t>
      </w:r>
      <w:r w:rsidRPr="00AB7B88">
        <w:rPr>
          <w:rStyle w:val="Bodytext52"/>
          <w:rFonts w:ascii="Times New Roman" w:hAnsi="Times New Roman"/>
          <w:color w:val="000000"/>
          <w:sz w:val="20"/>
          <w:lang w:val="es-AR" w:eastAsia="es-ES_tradnl"/>
        </w:rPr>
        <w:t>cualquier otra figura, en nombre de terceras partes no protegidas por el tratado relevante. Y los tribunales se extralimitan en su competencia si conceden compensaciones a terceros cuyas inversiones no tienen derecho a protección bajo los instrumentos pertinentes.</w:t>
      </w:r>
    </w:p>
    <w:p w14:paraId="0EB9FC56" w14:textId="77777777" w:rsidR="003B3957" w:rsidRPr="00AB7B88" w:rsidRDefault="003B3957" w:rsidP="00FF5584">
      <w:pPr>
        <w:pStyle w:val="Bodytext1"/>
        <w:numPr>
          <w:ilvl w:val="0"/>
          <w:numId w:val="41"/>
        </w:numPr>
        <w:shd w:val="clear" w:color="auto" w:fill="auto"/>
        <w:spacing w:before="380" w:line="360" w:lineRule="auto"/>
        <w:ind w:left="522" w:hanging="522"/>
        <w:jc w:val="both"/>
        <w:rPr>
          <w:sz w:val="20"/>
        </w:rPr>
      </w:pPr>
      <w:r w:rsidRPr="00AB7B88">
        <w:rPr>
          <w:rStyle w:val="Bodytext52"/>
          <w:rFonts w:ascii="Times New Roman" w:hAnsi="Times New Roman"/>
          <w:color w:val="000000"/>
          <w:sz w:val="20"/>
          <w:lang w:eastAsia="es-ES_tradnl"/>
        </w:rPr>
        <w:t>El comité continúa:</w:t>
      </w:r>
    </w:p>
    <w:p w14:paraId="101230CF" w14:textId="77777777" w:rsidR="003B3957" w:rsidRPr="00AB7B88" w:rsidRDefault="003B3957" w:rsidP="00482071">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El Comité ya ha concluido que, respecto al 40% de interés en la Propiedad Farmout la titularidad está dividida, quedando </w:t>
      </w:r>
      <w:r w:rsidRPr="00AB7B88">
        <w:rPr>
          <w:rStyle w:val="Bodytext13125pt"/>
          <w:rFonts w:ascii="Times New Roman" w:hAnsi="Times New Roman"/>
          <w:b w:val="0"/>
          <w:smallCaps w:val="0"/>
          <w:color w:val="000000"/>
          <w:sz w:val="20"/>
          <w:lang w:val="es-AR" w:eastAsia="es-ES_tradnl"/>
        </w:rPr>
        <w:t>beneficial ownership</w:t>
      </w:r>
      <w:r w:rsidRPr="00AB7B88">
        <w:rPr>
          <w:rStyle w:val="Bodytext52"/>
          <w:rFonts w:ascii="Times New Roman" w:hAnsi="Times New Roman"/>
          <w:color w:val="000000"/>
          <w:sz w:val="20"/>
          <w:lang w:val="es-AR" w:eastAsia="es-ES_tradnl"/>
        </w:rPr>
        <w:t xml:space="preserve"> y el control en manos de AEC/Andes y actuando OEPC como fiduciaria del </w:t>
      </w:r>
      <w:r w:rsidRPr="00AB7B88">
        <w:rPr>
          <w:rStyle w:val="Bodytext13125pt"/>
          <w:rFonts w:ascii="Times New Roman" w:hAnsi="Times New Roman"/>
          <w:b w:val="0"/>
          <w:smallCaps w:val="0"/>
          <w:color w:val="000000"/>
          <w:sz w:val="20"/>
          <w:lang w:val="es-AR" w:eastAsia="es-ES_tradnl"/>
        </w:rPr>
        <w:t>beneficial owner.</w:t>
      </w:r>
      <w:r w:rsidRPr="00AB7B88">
        <w:rPr>
          <w:rStyle w:val="Bodytext52"/>
          <w:rFonts w:ascii="Times New Roman" w:hAnsi="Times New Roman"/>
          <w:color w:val="000000"/>
          <w:sz w:val="20"/>
          <w:lang w:val="es-AR" w:eastAsia="es-ES_tradnl"/>
        </w:rPr>
        <w:t xml:space="preserve"> También ha concluido que en situaciones como ésta el derecho internacional establece que solamente el </w:t>
      </w:r>
      <w:r w:rsidRPr="00AB7B88">
        <w:rPr>
          <w:rStyle w:val="Bodytext13125pt"/>
          <w:rFonts w:ascii="Times New Roman" w:hAnsi="Times New Roman"/>
          <w:b w:val="0"/>
          <w:smallCaps w:val="0"/>
          <w:color w:val="000000"/>
          <w:sz w:val="20"/>
          <w:lang w:val="es-AR" w:eastAsia="es-ES_tradnl"/>
        </w:rPr>
        <w:t>beneficial owner,</w:t>
      </w:r>
      <w:r w:rsidRPr="00AB7B88">
        <w:rPr>
          <w:rStyle w:val="Bodytext52"/>
          <w:rFonts w:ascii="Times New Roman" w:hAnsi="Times New Roman"/>
          <w:color w:val="000000"/>
          <w:sz w:val="20"/>
          <w:lang w:val="es-AR" w:eastAsia="es-ES_tradnl"/>
        </w:rPr>
        <w:t xml:space="preserve"> AEC/Andes, puede reclamar por las interferencias con su interés, mientras que la fiduciaria, OEPC, carece de legitimidad para</w:t>
      </w:r>
      <w:r w:rsidR="00FF5584" w:rsidRPr="00AB7B88">
        <w:rPr>
          <w:sz w:val="20"/>
          <w:lang w:val="es-AR"/>
        </w:rPr>
        <w:t xml:space="preserve"> </w:t>
      </w:r>
      <w:r w:rsidRPr="00AB7B88">
        <w:rPr>
          <w:rStyle w:val="Bodytext52"/>
          <w:rFonts w:ascii="Times New Roman" w:hAnsi="Times New Roman"/>
          <w:color w:val="000000"/>
          <w:sz w:val="20"/>
          <w:lang w:val="es-AR" w:eastAsia="es-ES_tradnl"/>
        </w:rPr>
        <w:t xml:space="preserve">reclamar en nombre del </w:t>
      </w:r>
      <w:r w:rsidRPr="00AB7B88">
        <w:rPr>
          <w:rStyle w:val="Bodytext13125pt"/>
          <w:rFonts w:ascii="Times New Roman" w:hAnsi="Times New Roman"/>
          <w:b w:val="0"/>
          <w:smallCaps w:val="0"/>
          <w:color w:val="000000"/>
          <w:sz w:val="20"/>
          <w:lang w:val="es-AR" w:eastAsia="es-ES_tradnl"/>
        </w:rPr>
        <w:t>beneficial owner</w:t>
      </w:r>
      <w:r w:rsidRPr="00AB7B88">
        <w:rPr>
          <w:rStyle w:val="Bodytext13125pt"/>
          <w:rFonts w:ascii="Times New Roman" w:hAnsi="Times New Roman"/>
          <w:b w:val="0"/>
          <w:i w:val="0"/>
          <w:smallCaps w:val="0"/>
          <w:color w:val="000000"/>
          <w:sz w:val="20"/>
          <w:vertAlign w:val="superscript"/>
          <w:lang w:eastAsia="es-ES_tradnl"/>
        </w:rPr>
        <w:footnoteReference w:id="317"/>
      </w:r>
      <w:r w:rsidR="008B4DFE" w:rsidRPr="00AB7B88">
        <w:rPr>
          <w:rStyle w:val="Bodytext13125pt"/>
          <w:rFonts w:ascii="Times New Roman" w:hAnsi="Times New Roman"/>
          <w:b w:val="0"/>
          <w:i w:val="0"/>
          <w:smallCaps w:val="0"/>
          <w:color w:val="000000"/>
          <w:sz w:val="20"/>
          <w:lang w:val="es-AR" w:eastAsia="es-ES_tradnl"/>
        </w:rPr>
        <w:t>”</w:t>
      </w:r>
    </w:p>
    <w:p w14:paraId="24E72634" w14:textId="77777777" w:rsidR="003B3957" w:rsidRPr="00AB7B88" w:rsidRDefault="003B3957" w:rsidP="0048207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Sobre la base de estos párrafos, los Demandantes concluyen que el comité de anulación "sostuvo que solamente la parte que tenía un 'reclamo por las interferencias con sus intereses’ tendría legitimación para plantearlo con arreglo al derecho internacional</w:t>
      </w:r>
      <w:r w:rsidRPr="00AB7B88">
        <w:rPr>
          <w:rStyle w:val="Bodytext52"/>
          <w:rFonts w:ascii="Times New Roman" w:hAnsi="Times New Roman"/>
          <w:color w:val="000000"/>
          <w:sz w:val="20"/>
          <w:vertAlign w:val="superscript"/>
          <w:lang w:eastAsia="es-ES_tradnl"/>
        </w:rPr>
        <w:footnoteReference w:id="318"/>
      </w:r>
      <w:r w:rsidRPr="00AB7B88">
        <w:rPr>
          <w:rStyle w:val="Bodytext52"/>
          <w:rFonts w:ascii="Times New Roman" w:hAnsi="Times New Roman"/>
          <w:color w:val="000000"/>
          <w:sz w:val="20"/>
          <w:lang w:val="es-AR" w:eastAsia="es-ES_tradnl"/>
        </w:rPr>
        <w:t xml:space="preserve">". Los Demandantes omiten que el interés en el contexto de estos párrafos es el </w:t>
      </w:r>
      <w:r w:rsidRPr="00AB7B88">
        <w:rPr>
          <w:rStyle w:val="Bodytext13125pt"/>
          <w:rFonts w:ascii="Times New Roman" w:hAnsi="Times New Roman"/>
          <w:b w:val="0"/>
          <w:smallCaps w:val="0"/>
          <w:color w:val="000000"/>
          <w:sz w:val="20"/>
          <w:lang w:val="es-AR" w:eastAsia="es-ES_tradnl"/>
        </w:rPr>
        <w:t>beneficial ownership</w:t>
      </w:r>
      <w:r w:rsidRPr="00AB7B88">
        <w:rPr>
          <w:rStyle w:val="Bodytext13125pt"/>
          <w:rFonts w:ascii="Times New Roman" w:hAnsi="Times New Roman"/>
          <w:b w:val="0"/>
          <w:i w:val="0"/>
          <w:smallCaps w:val="0"/>
          <w:color w:val="000000"/>
          <w:sz w:val="20"/>
          <w:vertAlign w:val="superscript"/>
          <w:lang w:eastAsia="es-ES_tradnl"/>
        </w:rPr>
        <w:footnoteReference w:id="319"/>
      </w:r>
      <w:r w:rsidRPr="00AB7B88">
        <w:rPr>
          <w:rStyle w:val="Bodytext52"/>
          <w:rFonts w:ascii="Times New Roman" w:hAnsi="Times New Roman"/>
          <w:color w:val="000000"/>
          <w:sz w:val="20"/>
          <w:lang w:val="es-AR" w:eastAsia="es-ES_tradnl"/>
        </w:rPr>
        <w:t xml:space="preserve"> de AEC/Andes. Además, el </w:t>
      </w:r>
      <w:r w:rsidRPr="00AB7B88">
        <w:rPr>
          <w:rStyle w:val="Bodytext13125pt"/>
          <w:rFonts w:ascii="Times New Roman" w:hAnsi="Times New Roman"/>
          <w:b w:val="0"/>
          <w:smallCaps w:val="0"/>
          <w:color w:val="000000"/>
          <w:sz w:val="20"/>
          <w:lang w:val="es-AR" w:eastAsia="es-ES_tradnl"/>
        </w:rPr>
        <w:t>beneficiaiownership</w:t>
      </w:r>
      <w:r w:rsidRPr="00AB7B88">
        <w:rPr>
          <w:rStyle w:val="Bodytext52"/>
          <w:rFonts w:ascii="Times New Roman" w:hAnsi="Times New Roman"/>
          <w:color w:val="000000"/>
          <w:sz w:val="20"/>
          <w:lang w:val="es-AR" w:eastAsia="es-ES_tradnl"/>
        </w:rPr>
        <w:t xml:space="preserve"> no quedaba sujeto a la discrecionalidad de un tercero. El beneficiario tenía derechos y obligaciones contractuales y el titular formal había aceptado seguir las instrucciones de la fiduciaria que había acordado previamente seguirlas.</w:t>
      </w:r>
    </w:p>
    <w:p w14:paraId="52B16AC9" w14:textId="77777777" w:rsidR="003B3957" w:rsidRPr="00AB7B88" w:rsidRDefault="003B3957" w:rsidP="00284B34">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el caso </w:t>
      </w:r>
      <w:r w:rsidRPr="00AB7B88">
        <w:rPr>
          <w:rStyle w:val="Bodytext13125pt"/>
          <w:rFonts w:ascii="Times New Roman" w:hAnsi="Times New Roman"/>
          <w:b w:val="0"/>
          <w:smallCaps w:val="0"/>
          <w:color w:val="000000"/>
          <w:sz w:val="20"/>
          <w:lang w:val="es-AR" w:eastAsia="es-ES_tradnl"/>
        </w:rPr>
        <w:t>Blue Bank,</w:t>
      </w:r>
      <w:r w:rsidRPr="00AB7B88">
        <w:rPr>
          <w:rStyle w:val="Bodytext52"/>
          <w:rFonts w:ascii="Times New Roman" w:hAnsi="Times New Roman"/>
          <w:color w:val="000000"/>
          <w:sz w:val="20"/>
          <w:lang w:val="es-AR" w:eastAsia="es-ES_tradnl"/>
        </w:rPr>
        <w:t xml:space="preserve"> la demandante era el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y el tribunal consideró que el beneficiario habría sido el demandante correcto. El tribunal concluyó que el beneficiario era el que reunía las condiciones para ser designado 'persona elegible’ ("</w:t>
      </w:r>
      <w:r w:rsidRPr="00AB7B88">
        <w:rPr>
          <w:rStyle w:val="Bodytext13125pt"/>
          <w:rFonts w:ascii="Times New Roman" w:hAnsi="Times New Roman"/>
          <w:b w:val="0"/>
          <w:smallCaps w:val="0"/>
          <w:color w:val="000000"/>
          <w:sz w:val="20"/>
          <w:lang w:val="es-AR" w:eastAsia="es-ES_tradnl"/>
        </w:rPr>
        <w:t>Eligible Person"</w:t>
      </w:r>
      <w:r w:rsidRPr="00AB7B88">
        <w:rPr>
          <w:rStyle w:val="Bodytext13125pt"/>
          <w:rFonts w:ascii="Times New Roman" w:hAnsi="Times New Roman"/>
          <w:b w:val="0"/>
          <w:i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en las escrituras del </w:t>
      </w:r>
      <w:r w:rsidRPr="00AB7B88">
        <w:rPr>
          <w:rStyle w:val="Bodytext13125pt"/>
          <w:rFonts w:ascii="Times New Roman" w:hAnsi="Times New Roman"/>
          <w:b w:val="0"/>
          <w:smallCaps w:val="0"/>
          <w:color w:val="000000"/>
          <w:sz w:val="20"/>
          <w:lang w:val="es-AR" w:eastAsia="es-ES_tradnl"/>
        </w:rPr>
        <w:t xml:space="preserve">trust, </w:t>
      </w:r>
      <w:r w:rsidRPr="00AB7B88">
        <w:rPr>
          <w:rStyle w:val="Bodytext52"/>
          <w:rFonts w:ascii="Times New Roman" w:hAnsi="Times New Roman"/>
          <w:color w:val="000000"/>
          <w:sz w:val="20"/>
          <w:lang w:val="es-AR" w:eastAsia="es-ES_tradnl"/>
        </w:rPr>
        <w:t xml:space="preserve">conforme a las cuales una persona eligible es aquella que "goza del control final de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y que finalmente gozará o sufrirá, </w:t>
      </w:r>
      <w:r w:rsidRPr="00AB7B88">
        <w:rPr>
          <w:rStyle w:val="Bodytext52"/>
          <w:rFonts w:ascii="Times New Roman" w:hAnsi="Times New Roman"/>
          <w:color w:val="000000"/>
          <w:sz w:val="20"/>
          <w:lang w:val="es-AR" w:eastAsia="es-ES_tradnl"/>
        </w:rPr>
        <w:lastRenderedPageBreak/>
        <w:t xml:space="preserve">conforme lo indique el caso, la suerte de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13125pt"/>
          <w:rFonts w:ascii="Times New Roman" w:hAnsi="Times New Roman"/>
          <w:b w:val="0"/>
          <w:i w:val="0"/>
          <w:smallCaps w:val="0"/>
          <w:color w:val="000000"/>
          <w:sz w:val="20"/>
          <w:vertAlign w:val="superscript"/>
          <w:lang w:eastAsia="es-ES_tradnl"/>
        </w:rPr>
        <w:footnoteReference w:id="320"/>
      </w:r>
      <w:r w:rsidRPr="00AB7B88">
        <w:rPr>
          <w:rStyle w:val="Bodytext13125pt"/>
          <w:rFonts w:ascii="Times New Roman" w:hAnsi="Times New Roman"/>
          <w:b w:val="0"/>
          <w:i w:val="0"/>
          <w:smallCaps w:val="0"/>
          <w:color w:val="000000"/>
          <w:sz w:val="20"/>
          <w:lang w:val="es-AR" w:eastAsia="es-ES_tradnl"/>
        </w:rPr>
        <w:t>"</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Si bien los Demandantes encuentran sustento en ese caso para su argumento de que son los Demandantes correctos, a diferencia de la persona elegible en el caso de </w:t>
      </w:r>
      <w:r w:rsidRPr="00AB7B88">
        <w:rPr>
          <w:rStyle w:val="Bodytext13125pt"/>
          <w:rFonts w:ascii="Times New Roman" w:hAnsi="Times New Roman"/>
          <w:b w:val="0"/>
          <w:smallCaps w:val="0"/>
          <w:color w:val="000000"/>
          <w:sz w:val="20"/>
          <w:lang w:val="es-AR" w:eastAsia="es-ES_tradnl"/>
        </w:rPr>
        <w:t>Blue Bank,</w:t>
      </w:r>
      <w:r w:rsidRPr="00AB7B88">
        <w:rPr>
          <w:rStyle w:val="Bodytext52"/>
          <w:rFonts w:ascii="Times New Roman" w:hAnsi="Times New Roman"/>
          <w:color w:val="000000"/>
          <w:sz w:val="20"/>
          <w:lang w:val="es-AR" w:eastAsia="es-ES_tradnl"/>
        </w:rPr>
        <w:t xml:space="preserve"> los Demandantes no gozan del "control final" de los bienes del </w:t>
      </w:r>
      <w:r w:rsidRPr="00AB7B88">
        <w:rPr>
          <w:rStyle w:val="Bodytext13125pt"/>
          <w:rFonts w:ascii="Times New Roman" w:hAnsi="Times New Roman"/>
          <w:b w:val="0"/>
          <w:smallCaps w:val="0"/>
          <w:color w:val="000000"/>
          <w:sz w:val="20"/>
          <w:lang w:val="es-AR" w:eastAsia="es-ES_tradnl"/>
        </w:rPr>
        <w:t>Trust.</w:t>
      </w:r>
    </w:p>
    <w:p w14:paraId="7B5A8F50" w14:textId="77777777" w:rsidR="003B3957" w:rsidRPr="00AB7B88" w:rsidRDefault="003B3957" w:rsidP="00284B34">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Los Demandantes también se refieren a </w:t>
      </w:r>
      <w:r w:rsidRPr="00AB7B88">
        <w:rPr>
          <w:rStyle w:val="Bodytext13125pt"/>
          <w:rFonts w:ascii="Times New Roman" w:hAnsi="Times New Roman"/>
          <w:b w:val="0"/>
          <w:smallCaps w:val="0"/>
          <w:color w:val="000000"/>
          <w:sz w:val="20"/>
          <w:lang w:val="es-AR" w:eastAsia="es-ES_tradnl"/>
        </w:rPr>
        <w:t>Perenco</w:t>
      </w:r>
      <w:r w:rsidRPr="00AB7B88">
        <w:rPr>
          <w:rStyle w:val="Bodytext52"/>
          <w:rFonts w:ascii="Times New Roman" w:hAnsi="Times New Roman"/>
          <w:color w:val="000000"/>
          <w:sz w:val="20"/>
          <w:lang w:val="es-AR" w:eastAsia="es-ES_tradnl"/>
        </w:rPr>
        <w:t xml:space="preserve"> como un caso que demuestra que los tribunales de arbitraje de inversión "han reconocido al unísono que [los titulares de un interés legítimo], esto es, aquellos con un </w:t>
      </w:r>
      <w:r w:rsidRPr="00AB7B88">
        <w:rPr>
          <w:rStyle w:val="Bodytext13125pt"/>
          <w:rFonts w:ascii="Times New Roman" w:hAnsi="Times New Roman"/>
          <w:b w:val="0"/>
          <w:smallCaps w:val="0"/>
          <w:color w:val="000000"/>
          <w:sz w:val="20"/>
          <w:lang w:val="es-AR" w:eastAsia="es-ES_tradnl"/>
        </w:rPr>
        <w:t>economic orbeneficial interest.</w:t>
      </w:r>
      <w:r w:rsidRPr="00AB7B88">
        <w:rPr>
          <w:rStyle w:val="Bodytext52"/>
          <w:rFonts w:ascii="Times New Roman" w:hAnsi="Times New Roman"/>
          <w:color w:val="000000"/>
          <w:sz w:val="20"/>
          <w:lang w:val="es-AR" w:eastAsia="es-ES_tradnl"/>
        </w:rPr>
        <w:t xml:space="preserve"> tienen derecho a exigir un resarcimiento al amparo del derecho internacional</w:t>
      </w:r>
      <w:r w:rsidRPr="00AB7B88">
        <w:rPr>
          <w:rStyle w:val="Bodytext52"/>
          <w:rFonts w:ascii="Times New Roman" w:hAnsi="Times New Roman"/>
          <w:color w:val="000000"/>
          <w:sz w:val="20"/>
          <w:vertAlign w:val="superscript"/>
          <w:lang w:eastAsia="es-ES_tradnl"/>
        </w:rPr>
        <w:footnoteReference w:id="321"/>
      </w:r>
      <w:r w:rsidRPr="00AB7B88">
        <w:rPr>
          <w:rStyle w:val="Bodytext52"/>
          <w:rFonts w:ascii="Times New Roman" w:hAnsi="Times New Roman"/>
          <w:color w:val="000000"/>
          <w:sz w:val="20"/>
          <w:lang w:val="es-AR" w:eastAsia="es-ES_tradnl"/>
        </w:rPr>
        <w:t xml:space="preserve">". De este modo, el tribunal de </w:t>
      </w:r>
      <w:r w:rsidRPr="00AB7B88">
        <w:rPr>
          <w:rStyle w:val="Bodytext13125pt"/>
          <w:rFonts w:ascii="Times New Roman" w:hAnsi="Times New Roman"/>
          <w:b w:val="0"/>
          <w:smallCaps w:val="0"/>
          <w:color w:val="000000"/>
          <w:sz w:val="20"/>
          <w:lang w:val="es-AR" w:eastAsia="es-ES_tradnl"/>
        </w:rPr>
        <w:t>Perenco</w:t>
      </w:r>
      <w:r w:rsidRPr="00AB7B88">
        <w:rPr>
          <w:rStyle w:val="Bodytext52"/>
          <w:rFonts w:ascii="Times New Roman" w:hAnsi="Times New Roman"/>
          <w:color w:val="000000"/>
          <w:sz w:val="20"/>
          <w:lang w:val="es-AR" w:eastAsia="es-ES_tradnl"/>
        </w:rPr>
        <w:t xml:space="preserve"> sostuvo: "cuando las comisiones de reclamaciones y los tribunales arbitrales han determinado si es una persona con un interés jurídico o una persona con </w:t>
      </w:r>
      <w:r w:rsidRPr="00AB7B88">
        <w:rPr>
          <w:rStyle w:val="Bodytext13125pt"/>
          <w:rFonts w:ascii="Times New Roman" w:hAnsi="Times New Roman"/>
          <w:b w:val="0"/>
          <w:smallCaps w:val="0"/>
          <w:color w:val="000000"/>
          <w:sz w:val="20"/>
          <w:lang w:val="es-AR" w:eastAsia="es-ES_tradnl"/>
        </w:rPr>
        <w:t>beneficial interest</w:t>
      </w:r>
      <w:r w:rsidRPr="00AB7B88">
        <w:rPr>
          <w:rStyle w:val="Bodytext52"/>
          <w:rFonts w:ascii="Times New Roman" w:hAnsi="Times New Roman"/>
          <w:color w:val="000000"/>
          <w:sz w:val="20"/>
          <w:lang w:val="es-AR" w:eastAsia="es-ES_tradnl"/>
        </w:rPr>
        <w:t xml:space="preserve"> en acciones quien tiene derecho a buscar protección diplomática, han entendido en sucesivas decisiones que es el </w:t>
      </w:r>
      <w:r w:rsidRPr="00AB7B88">
        <w:rPr>
          <w:rStyle w:val="Bodytext13125pt"/>
          <w:rFonts w:ascii="Times New Roman" w:hAnsi="Times New Roman"/>
          <w:b w:val="0"/>
          <w:smallCaps w:val="0"/>
          <w:color w:val="000000"/>
          <w:sz w:val="20"/>
          <w:lang w:val="es-AR" w:eastAsia="es-ES_tradnl"/>
        </w:rPr>
        <w:t>beneficial interest</w:t>
      </w:r>
      <w:r w:rsidRPr="00AB7B88">
        <w:rPr>
          <w:rStyle w:val="Bodytext52"/>
          <w:rFonts w:ascii="Times New Roman" w:hAnsi="Times New Roman"/>
          <w:color w:val="000000"/>
          <w:sz w:val="20"/>
          <w:lang w:val="es-AR" w:eastAsia="es-ES_tradnl"/>
        </w:rPr>
        <w:t xml:space="preserve"> el que merece protección</w:t>
      </w:r>
      <w:r w:rsidRPr="00AB7B88">
        <w:rPr>
          <w:rStyle w:val="Bodytext52"/>
          <w:rFonts w:ascii="Times New Roman" w:hAnsi="Times New Roman"/>
          <w:color w:val="000000"/>
          <w:sz w:val="20"/>
          <w:vertAlign w:val="superscript"/>
          <w:lang w:eastAsia="es-ES_tradnl"/>
        </w:rPr>
        <w:footnoteReference w:id="322"/>
      </w:r>
      <w:r w:rsidRPr="00AB7B88">
        <w:rPr>
          <w:rStyle w:val="Bodytext52"/>
          <w:rFonts w:ascii="Times New Roman" w:hAnsi="Times New Roman"/>
          <w:color w:val="000000"/>
          <w:sz w:val="20"/>
          <w:lang w:val="es-AR" w:eastAsia="es-ES_tradnl"/>
        </w:rPr>
        <w:t>". Pero los Demandantes omiten que unos cuantos renglones más abajo el tribunal concluyó:</w:t>
      </w:r>
    </w:p>
    <w:p w14:paraId="5C38D849" w14:textId="77777777" w:rsidR="003B3957" w:rsidRPr="00AB7B88" w:rsidRDefault="003B3957" w:rsidP="00284B34">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 ] la evidencia del control francés es tan sustancial, tan convincente y sin contradicción que la opinión del Tribunal es que en las circunstancias del caso, es de gran consonancia con el enfoque empleado por el derecho internacional de darle peso al hecho de que derecho de las Bahamas reconozca que los herederos eran propietarios de las acciones en virtud del derecho francés y como resultado tenían </w:t>
      </w:r>
      <w:r w:rsidRPr="00AB7B88">
        <w:rPr>
          <w:rStyle w:val="Bodytext13125pt"/>
          <w:rFonts w:ascii="Times New Roman" w:hAnsi="Times New Roman"/>
          <w:b w:val="0"/>
          <w:smallCaps w:val="0"/>
          <w:color w:val="000000"/>
          <w:sz w:val="20"/>
          <w:lang w:val="es-AR" w:eastAsia="es-ES_tradnl"/>
        </w:rPr>
        <w:t>beneficial ownership</w:t>
      </w:r>
      <w:r w:rsidRPr="00AB7B88">
        <w:rPr>
          <w:rStyle w:val="Bodytext52"/>
          <w:rFonts w:ascii="Times New Roman" w:hAnsi="Times New Roman"/>
          <w:color w:val="000000"/>
          <w:sz w:val="20"/>
          <w:lang w:val="es-AR" w:eastAsia="es-ES_tradnl"/>
        </w:rPr>
        <w:t xml:space="preserve"> de las acciones en cuanto al derecho de las Bahamas antes de la reinscripción formal de los nombres</w:t>
      </w:r>
      <w:r w:rsidRPr="00AB7B88">
        <w:rPr>
          <w:rStyle w:val="Bodytext52"/>
          <w:rFonts w:ascii="Times New Roman" w:hAnsi="Times New Roman"/>
          <w:color w:val="000000"/>
          <w:sz w:val="20"/>
          <w:vertAlign w:val="superscript"/>
          <w:lang w:eastAsia="es-ES_tradnl"/>
        </w:rPr>
        <w:footnoteReference w:id="323"/>
      </w:r>
      <w:r w:rsidRPr="00AB7B88">
        <w:rPr>
          <w:rStyle w:val="Bodytext52"/>
          <w:rFonts w:ascii="Times New Roman" w:hAnsi="Times New Roman"/>
          <w:color w:val="000000"/>
          <w:sz w:val="20"/>
          <w:lang w:val="es-AR" w:eastAsia="es-ES_tradnl"/>
        </w:rPr>
        <w:t>.</w:t>
      </w:r>
    </w:p>
    <w:p w14:paraId="0BCE5BD6" w14:textId="77777777" w:rsidR="003B3957" w:rsidRPr="00AB7B88" w:rsidRDefault="003B3957" w:rsidP="00284B34">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Las Partes consideran que el caso </w:t>
      </w:r>
      <w:r w:rsidRPr="00AB7B88">
        <w:rPr>
          <w:rStyle w:val="Bodytext13125pt"/>
          <w:rFonts w:ascii="Times New Roman" w:hAnsi="Times New Roman"/>
          <w:b w:val="0"/>
          <w:smallCaps w:val="0"/>
          <w:color w:val="000000"/>
          <w:sz w:val="20"/>
          <w:lang w:val="es-AR" w:eastAsia="es-ES_tradnl"/>
        </w:rPr>
        <w:t>Saba-Fakes</w:t>
      </w:r>
      <w:r w:rsidRPr="00AB7B88">
        <w:rPr>
          <w:rStyle w:val="Bodytext52"/>
          <w:rFonts w:ascii="Times New Roman" w:hAnsi="Times New Roman"/>
          <w:color w:val="000000"/>
          <w:sz w:val="20"/>
          <w:lang w:val="es-AR" w:eastAsia="es-ES_tradnl"/>
        </w:rPr>
        <w:t xml:space="preserve"> respalda sus respectivas posturas</w:t>
      </w:r>
      <w:r w:rsidRPr="00AB7B88">
        <w:rPr>
          <w:rStyle w:val="Bodytext52"/>
          <w:rFonts w:ascii="Times New Roman" w:hAnsi="Times New Roman"/>
          <w:color w:val="000000"/>
          <w:sz w:val="20"/>
          <w:vertAlign w:val="superscript"/>
          <w:lang w:eastAsia="es-ES_tradnl"/>
        </w:rPr>
        <w:footnoteReference w:id="324"/>
      </w:r>
      <w:r w:rsidRPr="00AB7B88">
        <w:rPr>
          <w:rStyle w:val="Bodytext52"/>
          <w:rFonts w:ascii="Times New Roman" w:hAnsi="Times New Roman"/>
          <w:color w:val="000000"/>
          <w:sz w:val="20"/>
          <w:lang w:val="es-AR" w:eastAsia="es-ES_tradnl"/>
        </w:rPr>
        <w:t>. En relación con la separación de derechos de propiedad, el tribunal sostuvo:</w:t>
      </w:r>
    </w:p>
    <w:p w14:paraId="06A5E920" w14:textId="77777777" w:rsidR="003B3957" w:rsidRPr="00AB7B88" w:rsidRDefault="003B3957" w:rsidP="00284B34">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La separación del título legal y los derechos de </w:t>
      </w:r>
      <w:r w:rsidRPr="00AB7B88">
        <w:rPr>
          <w:rStyle w:val="Bodytext13125pt"/>
          <w:rFonts w:ascii="Times New Roman" w:hAnsi="Times New Roman"/>
          <w:b w:val="0"/>
          <w:smallCaps w:val="0"/>
          <w:color w:val="000000"/>
          <w:sz w:val="20"/>
          <w:lang w:val="es-AR" w:eastAsia="es-ES_tradnl"/>
        </w:rPr>
        <w:t>beneficial ownership</w:t>
      </w:r>
      <w:r w:rsidRPr="00AB7B88">
        <w:rPr>
          <w:rStyle w:val="Bodytext52"/>
          <w:rFonts w:ascii="Times New Roman" w:hAnsi="Times New Roman"/>
          <w:color w:val="000000"/>
          <w:sz w:val="20"/>
          <w:lang w:val="es-AR" w:eastAsia="es-ES_tradnl"/>
        </w:rPr>
        <w:t xml:space="preserve"> no privan a dicha titularidad de las características de una inversión en los términos del Convenio del CIAD1 ni el TBI entre los Países Bajos y Turquía. Ni el Convenio del CIADI, ni el TBI hacen distinción alguna que pueda ser interpretada como exclusión de la nuda propiedad </w:t>
      </w:r>
      <w:r w:rsidRPr="00AB7B88">
        <w:rPr>
          <w:rStyle w:val="Bodytext13125pt"/>
          <w:rFonts w:ascii="Times New Roman" w:hAnsi="Times New Roman"/>
          <w:b w:val="0"/>
          <w:i w:val="0"/>
          <w:smallCaps w:val="0"/>
          <w:color w:val="000000"/>
          <w:sz w:val="20"/>
          <w:lang w:val="es-AR" w:eastAsia="es-ES_tradnl"/>
        </w:rPr>
        <w:t>(</w:t>
      </w:r>
      <w:r w:rsidR="00067F06" w:rsidRPr="00AB7B88">
        <w:rPr>
          <w:rStyle w:val="Bodytext13125pt"/>
          <w:rFonts w:ascii="Times New Roman" w:hAnsi="Times New Roman"/>
          <w:b w:val="0"/>
          <w:i w:val="0"/>
          <w:smallCaps w:val="0"/>
          <w:color w:val="000000"/>
          <w:sz w:val="20"/>
          <w:lang w:val="es-AR" w:eastAsia="es-ES_tradnl"/>
        </w:rPr>
        <w:t>‘</w:t>
      </w:r>
      <w:r w:rsidRPr="00AB7B88">
        <w:rPr>
          <w:rStyle w:val="Bodytext13125pt"/>
          <w:rFonts w:ascii="Times New Roman" w:hAnsi="Times New Roman"/>
          <w:b w:val="0"/>
          <w:smallCaps w:val="0"/>
          <w:color w:val="000000"/>
          <w:sz w:val="20"/>
          <w:lang w:val="es-AR" w:eastAsia="es-ES_tradnl"/>
        </w:rPr>
        <w:t>bare legal tille</w:t>
      </w:r>
      <w:r w:rsidRPr="00AB7B88">
        <w:rPr>
          <w:rStyle w:val="Bodytext52"/>
          <w:rFonts w:ascii="Times New Roman" w:hAnsi="Times New Roman"/>
          <w:color w:val="000000"/>
          <w:sz w:val="20"/>
          <w:lang w:val="es-AR" w:eastAsia="es-ES_tradnl"/>
        </w:rPr>
        <w:t>’) del alcance del Convenio de CIADI o de la protección del TBI</w:t>
      </w:r>
      <w:r w:rsidRPr="00AB7B88">
        <w:rPr>
          <w:rStyle w:val="Bodytext52"/>
          <w:rFonts w:ascii="Times New Roman" w:hAnsi="Times New Roman"/>
          <w:color w:val="000000"/>
          <w:sz w:val="20"/>
          <w:vertAlign w:val="superscript"/>
          <w:lang w:eastAsia="es-ES_tradnl"/>
        </w:rPr>
        <w:footnoteReference w:id="325"/>
      </w:r>
      <w:r w:rsidRPr="00AB7B88">
        <w:rPr>
          <w:rStyle w:val="Bodytext52"/>
          <w:rFonts w:ascii="Times New Roman" w:hAnsi="Times New Roman"/>
          <w:color w:val="000000"/>
          <w:sz w:val="20"/>
          <w:lang w:val="es-AR" w:eastAsia="es-ES_tradnl"/>
        </w:rPr>
        <w:t>.</w:t>
      </w:r>
    </w:p>
    <w:p w14:paraId="25ED35F0" w14:textId="77777777" w:rsidR="003B3957" w:rsidRPr="00AB7B88" w:rsidRDefault="003B3957" w:rsidP="00284B34">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lastRenderedPageBreak/>
        <w:t xml:space="preserve">En </w:t>
      </w:r>
      <w:r w:rsidRPr="00AB7B88">
        <w:rPr>
          <w:rStyle w:val="Bodytext13125pt"/>
          <w:rFonts w:ascii="Times New Roman" w:hAnsi="Times New Roman"/>
          <w:b w:val="0"/>
          <w:smallCaps w:val="0"/>
          <w:color w:val="000000"/>
          <w:sz w:val="20"/>
          <w:lang w:val="es-AR" w:eastAsia="es-ES_tradnl"/>
        </w:rPr>
        <w:t>Saba-Fakes</w:t>
      </w:r>
      <w:r w:rsidRPr="00AB7B88">
        <w:rPr>
          <w:rStyle w:val="Bodytext52"/>
          <w:rFonts w:ascii="Times New Roman" w:hAnsi="Times New Roman"/>
          <w:color w:val="000000"/>
          <w:sz w:val="20"/>
          <w:lang w:val="es-AR" w:eastAsia="es-ES_tradnl"/>
        </w:rPr>
        <w:t xml:space="preserve"> la demandante sostuvo que ostentaba la nuda propiedad. El tribunal estableció que el </w:t>
      </w:r>
      <w:r w:rsidRPr="00AB7B88">
        <w:rPr>
          <w:rStyle w:val="Bodytext13125pt"/>
          <w:rFonts w:ascii="Times New Roman" w:hAnsi="Times New Roman"/>
          <w:b w:val="0"/>
          <w:smallCaps w:val="0"/>
          <w:color w:val="000000"/>
          <w:sz w:val="20"/>
          <w:lang w:val="es-AR" w:eastAsia="es-ES_tradnl"/>
        </w:rPr>
        <w:t>beneficial owner</w:t>
      </w:r>
      <w:r w:rsidRPr="00AB7B88">
        <w:rPr>
          <w:rStyle w:val="Bodytext52"/>
          <w:rFonts w:ascii="Times New Roman" w:hAnsi="Times New Roman"/>
          <w:color w:val="000000"/>
          <w:sz w:val="20"/>
          <w:lang w:val="es-AR" w:eastAsia="es-ES_tradnl"/>
        </w:rPr>
        <w:t xml:space="preserve"> no había transferido a la demandante la titularidad de las acciones y, por ende, seguia ostentando la propiedad plena y no solo </w:t>
      </w:r>
      <w:r w:rsidRPr="00AB7B88">
        <w:rPr>
          <w:rStyle w:val="Bodytext13125pt"/>
          <w:rFonts w:ascii="Times New Roman" w:hAnsi="Times New Roman"/>
          <w:b w:val="0"/>
          <w:smallCaps w:val="0"/>
          <w:color w:val="000000"/>
          <w:sz w:val="20"/>
          <w:lang w:val="es-AR" w:eastAsia="es-ES_tradnl"/>
        </w:rPr>
        <w:t>beneficial rights.</w:t>
      </w:r>
      <w:r w:rsidRPr="00AB7B88">
        <w:rPr>
          <w:rStyle w:val="Bodytext52"/>
          <w:rFonts w:ascii="Times New Roman" w:hAnsi="Times New Roman"/>
          <w:color w:val="000000"/>
          <w:sz w:val="20"/>
          <w:lang w:val="es-AR" w:eastAsia="es-ES_tradnl"/>
        </w:rPr>
        <w:t xml:space="preserve"> El Tribunal opina que este caso tiene escasa relevancia más allá de manifestar el principio general de que la separación de derechos de propiedad es legítima y que el </w:t>
      </w:r>
      <w:r w:rsidRPr="00AB7B88">
        <w:rPr>
          <w:rStyle w:val="Bodytext13125pt"/>
          <w:rFonts w:ascii="Times New Roman" w:hAnsi="Times New Roman"/>
          <w:b w:val="0"/>
          <w:smallCaps w:val="0"/>
          <w:color w:val="000000"/>
          <w:sz w:val="20"/>
          <w:lang w:val="es-AR" w:eastAsia="es-ES_tradnl"/>
        </w:rPr>
        <w:t>beneficial ownership</w:t>
      </w:r>
      <w:r w:rsidRPr="00AB7B88">
        <w:rPr>
          <w:rStyle w:val="Bodytext52"/>
          <w:rFonts w:ascii="Times New Roman" w:hAnsi="Times New Roman"/>
          <w:color w:val="000000"/>
          <w:sz w:val="20"/>
          <w:lang w:val="es-AR" w:eastAsia="es-ES_tradnl"/>
        </w:rPr>
        <w:t xml:space="preserve"> y la nuda propiedad pueden reunir las condiciones de una inversión en el marco del Convenio CIADI.</w:t>
      </w:r>
    </w:p>
    <w:p w14:paraId="183AEC57" w14:textId="77777777" w:rsidR="003B3957" w:rsidRPr="00AB7B88" w:rsidRDefault="003B3957" w:rsidP="00284B34">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Los Demandantes se han referido al caso </w:t>
      </w:r>
      <w:r w:rsidRPr="00AB7B88">
        <w:rPr>
          <w:rStyle w:val="Bodytext13125pt"/>
          <w:rFonts w:ascii="Times New Roman" w:hAnsi="Times New Roman"/>
          <w:b w:val="0"/>
          <w:smallCaps w:val="0"/>
          <w:color w:val="000000"/>
          <w:sz w:val="20"/>
          <w:lang w:val="es-AR" w:eastAsia="es-ES_tradnl"/>
        </w:rPr>
        <w:t>Anglo-Adriatic</w:t>
      </w:r>
      <w:r w:rsidRPr="00AB7B88">
        <w:rPr>
          <w:rStyle w:val="Bodytext52"/>
          <w:rFonts w:ascii="Times New Roman" w:hAnsi="Times New Roman"/>
          <w:color w:val="000000"/>
          <w:sz w:val="20"/>
          <w:lang w:val="es-AR" w:eastAsia="es-ES_tradnl"/>
        </w:rPr>
        <w:t xml:space="preserve"> con el fin de destacar que el tribunal en dicho caso "aceptó, en principio, el argumento de la demandante de que efectivamente era la demandante adecuada por revestir el carácter de </w:t>
      </w:r>
      <w:r w:rsidRPr="00AB7B88">
        <w:rPr>
          <w:rStyle w:val="Bodytext13125pt"/>
          <w:rFonts w:ascii="Times New Roman" w:hAnsi="Times New Roman"/>
          <w:b w:val="0"/>
          <w:smallCaps w:val="0"/>
          <w:color w:val="000000"/>
          <w:sz w:val="20"/>
          <w:lang w:val="es-AR" w:eastAsia="es-ES_tradnl"/>
        </w:rPr>
        <w:t>beneficial owner</w:t>
      </w:r>
      <w:r w:rsidRPr="00AB7B88">
        <w:rPr>
          <w:rStyle w:val="Bodytext52"/>
          <w:rFonts w:ascii="Times New Roman" w:hAnsi="Times New Roman"/>
          <w:color w:val="000000"/>
          <w:sz w:val="20"/>
          <w:lang w:val="es-AR" w:eastAsia="es-ES_tradnl"/>
        </w:rPr>
        <w:t xml:space="preserve"> de ciertos bienes en un </w:t>
      </w:r>
      <w:r w:rsidRPr="00AB7B88">
        <w:rPr>
          <w:rStyle w:val="Bodytext13125pt"/>
          <w:rFonts w:ascii="Times New Roman" w:hAnsi="Times New Roman"/>
          <w:b w:val="0"/>
          <w:smallCaps w:val="0"/>
          <w:color w:val="000000"/>
          <w:sz w:val="20"/>
          <w:lang w:val="es-AR" w:eastAsia="es-ES_tradnl"/>
        </w:rPr>
        <w:t>trust</w:t>
      </w:r>
      <w:r w:rsidRPr="00AB7B88">
        <w:rPr>
          <w:rStyle w:val="Bodytext13125pt"/>
          <w:rFonts w:ascii="Times New Roman" w:hAnsi="Times New Roman"/>
          <w:b w:val="0"/>
          <w:i w:val="0"/>
          <w:smallCaps w:val="0"/>
          <w:color w:val="000000"/>
          <w:sz w:val="20"/>
          <w:vertAlign w:val="superscript"/>
          <w:lang w:eastAsia="es-ES_tradnl"/>
        </w:rPr>
        <w:footnoteReference w:id="326"/>
      </w:r>
      <w:r w:rsidRPr="00AB7B88">
        <w:rPr>
          <w:rStyle w:val="Bodytext13125pt"/>
          <w:rFonts w:ascii="Times New Roman" w:hAnsi="Times New Roman"/>
          <w:b w:val="0"/>
          <w:i w:val="0"/>
          <w:smallCaps w:val="0"/>
          <w:color w:val="000000"/>
          <w:sz w:val="20"/>
          <w:lang w:val="es-AR" w:eastAsia="es-ES_tradnl"/>
        </w:rPr>
        <w:t>"</w:t>
      </w:r>
      <w:r w:rsidRPr="00AB7B88">
        <w:rPr>
          <w:rStyle w:val="Bodytext13125pt"/>
          <w:rFonts w:ascii="Times New Roman" w:hAnsi="Times New Roman"/>
          <w:b w:val="0"/>
          <w:smallCaps w:val="0"/>
          <w:color w:val="000000"/>
          <w:sz w:val="20"/>
          <w:lang w:val="es-AR" w:eastAsia="es-ES_tradnl"/>
        </w:rPr>
        <w:t xml:space="preserve">, </w:t>
      </w:r>
      <w:r w:rsidRPr="00AB7B88">
        <w:rPr>
          <w:rStyle w:val="Bodytext52"/>
          <w:rFonts w:ascii="Times New Roman" w:hAnsi="Times New Roman"/>
          <w:color w:val="000000"/>
          <w:sz w:val="20"/>
          <w:lang w:val="es-AR" w:eastAsia="es-ES_tradnl"/>
        </w:rPr>
        <w:t xml:space="preserve">Pero la demandante no era una </w:t>
      </w:r>
      <w:r w:rsidRPr="00AB7B88">
        <w:rPr>
          <w:rStyle w:val="Bodytext13125pt"/>
          <w:rFonts w:ascii="Times New Roman" w:hAnsi="Times New Roman"/>
          <w:b w:val="0"/>
          <w:smallCaps w:val="0"/>
          <w:color w:val="000000"/>
          <w:sz w:val="20"/>
          <w:lang w:val="es-AR" w:eastAsia="es-ES_tradnl"/>
        </w:rPr>
        <w:t>discretionary beneficiary</w:t>
      </w:r>
      <w:r w:rsidRPr="00AB7B88">
        <w:rPr>
          <w:rStyle w:val="Bodytext52"/>
          <w:rFonts w:ascii="Times New Roman" w:hAnsi="Times New Roman"/>
          <w:color w:val="000000"/>
          <w:sz w:val="20"/>
          <w:lang w:val="es-AR" w:eastAsia="es-ES_tradnl"/>
        </w:rPr>
        <w:t xml:space="preserve"> de esos bienes.</w:t>
      </w:r>
    </w:p>
    <w:p w14:paraId="27898944" w14:textId="77777777" w:rsidR="003B3957" w:rsidRPr="00AB7B88" w:rsidRDefault="003B3957" w:rsidP="004F74ED">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cuanto a la cuestión de si es suficiente que un bien tenga "cierto valor económico" para reunir dicha condición en el marco del TBI, las Partes han hecho referencia a la siguiente conclusión del tribunal de </w:t>
      </w:r>
      <w:r w:rsidRPr="00AB7B88">
        <w:rPr>
          <w:rStyle w:val="Bodytext13125pt"/>
          <w:rFonts w:ascii="Times New Roman" w:hAnsi="Times New Roman"/>
          <w:b w:val="0"/>
          <w:smallCaps w:val="0"/>
          <w:color w:val="000000"/>
          <w:sz w:val="20"/>
          <w:lang w:val="es-AR" w:eastAsia="es-ES_tradnl"/>
        </w:rPr>
        <w:t>Eureko:</w:t>
      </w:r>
    </w:p>
    <w:p w14:paraId="6263D05D" w14:textId="77777777" w:rsidR="003B3957" w:rsidRPr="00AB7B88" w:rsidRDefault="003B3957" w:rsidP="004F74ED">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Tras considerar la totalidad de los medios de prueba, en particular el testimonio del Sr. Jansen, el Tribunal concluye que estos derechos de gobierno societario no eran contingentes. Eran derechos reales conferidos en términos claros a Eureko por su socio contractual, el Tesoro del Estado de la República de Polonia. El Tribunal concluye que estos derechos fueron frustrados sistemáticamente por la Demandada tras la celebración del convenio de compraventa de acciones.</w:t>
      </w:r>
    </w:p>
    <w:p w14:paraId="2A3D77BF" w14:textId="77777777" w:rsidR="003B3957" w:rsidRPr="00AB7B88" w:rsidRDefault="003B3957" w:rsidP="004F74ED">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w:t>
      </w:r>
    </w:p>
    <w:p w14:paraId="1327ACD0" w14:textId="77777777" w:rsidR="003B3957" w:rsidRPr="00AB7B88" w:rsidRDefault="003B3957" w:rsidP="004F74ED">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Sin embargo, dado que el otorgamiento a Eureko de derechos de gobierno societario marcadamente más amplios que los que emanaban de su tenencia accionaria fue un elemento central de la inversión, sin el cual parece claro que no habría existido una inversión en modo alguno, el Tribunal concluye que esos derechos tienen cierto valor económico y están facultados a recibir protección al amparo del Tratado</w:t>
      </w:r>
      <w:r w:rsidRPr="00AB7B88">
        <w:rPr>
          <w:rStyle w:val="Bodytext52"/>
          <w:rFonts w:ascii="Times New Roman" w:hAnsi="Times New Roman"/>
          <w:color w:val="000000"/>
          <w:sz w:val="20"/>
          <w:vertAlign w:val="superscript"/>
          <w:lang w:eastAsia="es-ES_tradnl"/>
        </w:rPr>
        <w:footnoteReference w:id="327"/>
      </w:r>
      <w:r w:rsidRPr="00AB7B88">
        <w:rPr>
          <w:rStyle w:val="Bodytext52"/>
          <w:rFonts w:ascii="Times New Roman" w:hAnsi="Times New Roman"/>
          <w:color w:val="000000"/>
          <w:sz w:val="20"/>
          <w:lang w:val="es-AR" w:eastAsia="es-ES_tradnl"/>
        </w:rPr>
        <w:t>.</w:t>
      </w:r>
    </w:p>
    <w:p w14:paraId="741D538B" w14:textId="77777777" w:rsidR="003B3957" w:rsidRPr="00AB7B88" w:rsidRDefault="003B3957" w:rsidP="004F74ED">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la opinión del profesor Reisman, "|e]l paralelismo entre </w:t>
      </w:r>
      <w:r w:rsidRPr="00AB7B88">
        <w:rPr>
          <w:rStyle w:val="Bodytext13125pt"/>
          <w:rFonts w:ascii="Times New Roman" w:hAnsi="Times New Roman"/>
          <w:b w:val="0"/>
          <w:smallCaps w:val="0"/>
          <w:color w:val="000000"/>
          <w:sz w:val="20"/>
          <w:lang w:val="es-AR" w:eastAsia="es-ES_tradnl"/>
        </w:rPr>
        <w:t>Eureko</w:t>
      </w:r>
      <w:r w:rsidRPr="00AB7B88">
        <w:rPr>
          <w:rStyle w:val="Bodytext52"/>
          <w:rFonts w:ascii="Times New Roman" w:hAnsi="Times New Roman"/>
          <w:color w:val="000000"/>
          <w:sz w:val="20"/>
          <w:lang w:val="es-AR" w:eastAsia="es-ES_tradnl"/>
        </w:rPr>
        <w:t xml:space="preserve"> y este caso es evidente. Si bien los derechos de las Demandantes como </w:t>
      </w:r>
      <w:r w:rsidRPr="00AB7B88">
        <w:rPr>
          <w:rStyle w:val="Bodytext13125pt"/>
          <w:rFonts w:ascii="Times New Roman" w:hAnsi="Times New Roman"/>
          <w:b w:val="0"/>
          <w:smallCaps w:val="0"/>
          <w:color w:val="000000"/>
          <w:sz w:val="20"/>
          <w:lang w:val="es-AR" w:eastAsia="es-ES_tradnl"/>
        </w:rPr>
        <w:t>discretionarybeneficiaries</w:t>
      </w:r>
      <w:r w:rsidRPr="00AB7B88">
        <w:rPr>
          <w:rStyle w:val="Bodytext52"/>
          <w:rFonts w:ascii="Times New Roman" w:hAnsi="Times New Roman"/>
          <w:color w:val="000000"/>
          <w:sz w:val="20"/>
          <w:lang w:val="es-AR" w:eastAsia="es-ES_tradnl"/>
        </w:rPr>
        <w:t xml:space="preserve"> pueden no haber sido "tangibles" ni tener un "valor económico fácilmente calculable", de todas formas tenían "algún valor económico". Eso es suficiente a </w:t>
      </w:r>
      <w:r w:rsidRPr="00AB7B88">
        <w:rPr>
          <w:rStyle w:val="Bodytext52"/>
          <w:rFonts w:ascii="Times New Roman" w:hAnsi="Times New Roman"/>
          <w:color w:val="000000"/>
          <w:sz w:val="20"/>
          <w:lang w:val="es-AR" w:eastAsia="es-ES_tradnl"/>
        </w:rPr>
        <w:lastRenderedPageBreak/>
        <w:t xml:space="preserve">los efectos de la jurisdicción en virtud de un TBI con una definición amplia de "inversión" basada en el concepto de bienes, como el TBI que regía en </w:t>
      </w:r>
      <w:r w:rsidRPr="00AB7B88">
        <w:rPr>
          <w:rStyle w:val="Bodytext13125pt"/>
          <w:rFonts w:ascii="Times New Roman" w:hAnsi="Times New Roman"/>
          <w:b w:val="0"/>
          <w:smallCaps w:val="0"/>
          <w:color w:val="000000"/>
          <w:sz w:val="20"/>
          <w:lang w:val="es-AR" w:eastAsia="es-ES_tradnl"/>
        </w:rPr>
        <w:t>Eureko</w:t>
      </w:r>
      <w:r w:rsidRPr="00AB7B88">
        <w:rPr>
          <w:rStyle w:val="Bodytext52"/>
          <w:rFonts w:ascii="Times New Roman" w:hAnsi="Times New Roman"/>
          <w:color w:val="000000"/>
          <w:sz w:val="20"/>
          <w:lang w:val="es-AR" w:eastAsia="es-ES_tradnl"/>
        </w:rPr>
        <w:t xml:space="preserve"> y el TBI de este caso</w:t>
      </w:r>
      <w:r w:rsidRPr="00AB7B88">
        <w:rPr>
          <w:rStyle w:val="Bodytext52"/>
          <w:rFonts w:ascii="Times New Roman" w:hAnsi="Times New Roman"/>
          <w:color w:val="000000"/>
          <w:sz w:val="20"/>
          <w:vertAlign w:val="superscript"/>
          <w:lang w:eastAsia="es-ES_tradnl"/>
        </w:rPr>
        <w:footnoteReference w:id="328"/>
      </w:r>
      <w:r w:rsidRPr="00AB7B88">
        <w:rPr>
          <w:rStyle w:val="Bodytext52"/>
          <w:rFonts w:ascii="Times New Roman" w:hAnsi="Times New Roman"/>
          <w:color w:val="000000"/>
          <w:sz w:val="20"/>
          <w:lang w:val="es-AR" w:eastAsia="es-ES_tradnl"/>
        </w:rPr>
        <w:t>".</w:t>
      </w:r>
    </w:p>
    <w:p w14:paraId="241AED3D" w14:textId="77777777" w:rsidR="003B3957" w:rsidRPr="00AB7B88" w:rsidRDefault="003B3957" w:rsidP="004F74ED">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Tribunal considera que </w:t>
      </w:r>
      <w:r w:rsidRPr="00AB7B88">
        <w:rPr>
          <w:rStyle w:val="Bodytext13125pt"/>
          <w:rFonts w:ascii="Times New Roman" w:hAnsi="Times New Roman"/>
          <w:b w:val="0"/>
          <w:smallCaps w:val="0"/>
          <w:color w:val="000000"/>
          <w:sz w:val="20"/>
          <w:lang w:val="es-AR" w:eastAsia="es-ES_tradnl"/>
        </w:rPr>
        <w:t>Eureko</w:t>
      </w:r>
      <w:r w:rsidRPr="00AB7B88">
        <w:rPr>
          <w:rStyle w:val="Bodytext52"/>
          <w:rFonts w:ascii="Times New Roman" w:hAnsi="Times New Roman"/>
          <w:color w:val="000000"/>
          <w:sz w:val="20"/>
          <w:lang w:val="es-AR" w:eastAsia="es-ES_tradnl"/>
        </w:rPr>
        <w:t xml:space="preserve"> puede ser diferenciado fácilmente del presente caso. En </w:t>
      </w:r>
      <w:r w:rsidRPr="00AB7B88">
        <w:rPr>
          <w:rStyle w:val="Bodytext13125pt"/>
          <w:rFonts w:ascii="Times New Roman" w:hAnsi="Times New Roman"/>
          <w:b w:val="0"/>
          <w:smallCaps w:val="0"/>
          <w:color w:val="000000"/>
          <w:sz w:val="20"/>
          <w:lang w:val="es-AR" w:eastAsia="es-ES_tradnl"/>
        </w:rPr>
        <w:t xml:space="preserve">Eureko. </w:t>
      </w:r>
      <w:r w:rsidRPr="00AB7B88">
        <w:rPr>
          <w:rStyle w:val="Bodytext52"/>
          <w:rFonts w:ascii="Times New Roman" w:hAnsi="Times New Roman"/>
          <w:color w:val="000000"/>
          <w:sz w:val="20"/>
          <w:lang w:val="es-AR" w:eastAsia="es-ES_tradnl"/>
        </w:rPr>
        <w:t xml:space="preserve">los derechos de gobierno societario eran "reales" y no "condicionales" y "un elemento central de la inversión". En el caso que se ventila ante este Tribunal, los Demandantes no tenían derechos a los bienes en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durante el periodo pertinente, puesto que aguardaban una decisión del </w:t>
      </w:r>
      <w:r w:rsidR="00B058CD" w:rsidRPr="00AB7B88">
        <w:rPr>
          <w:rStyle w:val="Bodytext13125pt"/>
          <w:rFonts w:ascii="Times New Roman" w:hAnsi="Times New Roman"/>
          <w:b w:val="0"/>
          <w:smallCaps w:val="0"/>
          <w:color w:val="000000"/>
          <w:sz w:val="20"/>
          <w:lang w:val="es-AR" w:eastAsia="es-ES_tradnl"/>
        </w:rPr>
        <w:t>Trustee</w:t>
      </w:r>
      <w:r w:rsidRPr="00AB7B88">
        <w:rPr>
          <w:rStyle w:val="Bodytext52"/>
          <w:rFonts w:ascii="Times New Roman" w:hAnsi="Times New Roman"/>
          <w:color w:val="000000"/>
          <w:sz w:val="20"/>
          <w:lang w:val="es-AR" w:eastAsia="es-ES_tradnl"/>
        </w:rPr>
        <w:t xml:space="preserve"> a su favor.</w:t>
      </w:r>
    </w:p>
    <w:p w14:paraId="380C0CCF" w14:textId="77777777" w:rsidR="003B3957" w:rsidRPr="00AB7B88" w:rsidRDefault="003B3957" w:rsidP="004F74ED">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conclusión, ninguno de los casos analizados hasta el momento sirve como fundamento de la premisa de que un </w:t>
      </w:r>
      <w:r w:rsidRPr="00AB7B88">
        <w:rPr>
          <w:rStyle w:val="Bodytext13125pt"/>
          <w:rFonts w:ascii="Times New Roman" w:hAnsi="Times New Roman"/>
          <w:b w:val="0"/>
          <w:smallCaps w:val="0"/>
          <w:color w:val="000000"/>
          <w:sz w:val="20"/>
          <w:lang w:val="es-AR" w:eastAsia="es-ES_tradnl"/>
        </w:rPr>
        <w:t>discretionary beneficiare</w:t>
      </w:r>
      <w:r w:rsidRPr="00AB7B88">
        <w:rPr>
          <w:rStyle w:val="Bodytext52"/>
          <w:rFonts w:ascii="Times New Roman" w:hAnsi="Times New Roman"/>
          <w:color w:val="000000"/>
          <w:sz w:val="20"/>
          <w:lang w:val="es-AR" w:eastAsia="es-ES_tradnl"/>
        </w:rPr>
        <w:t xml:space="preserve"> de un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o un titular de un interés goza de legitimación para plantear una pretensión con respecto a una inversión en un procedimiento arbitral. En todos estos casos, en palabras del tribunal de </w:t>
      </w:r>
      <w:r w:rsidRPr="00AB7B88">
        <w:rPr>
          <w:rStyle w:val="Bodytext13125pt"/>
          <w:rFonts w:ascii="Times New Roman" w:hAnsi="Times New Roman"/>
          <w:b w:val="0"/>
          <w:smallCaps w:val="0"/>
          <w:color w:val="000000"/>
          <w:sz w:val="20"/>
          <w:lang w:val="es-AR" w:eastAsia="es-ES_tradnl"/>
        </w:rPr>
        <w:t>Eureko.</w:t>
      </w:r>
      <w:r w:rsidRPr="00AB7B88">
        <w:rPr>
          <w:rStyle w:val="Bodytext52"/>
          <w:rFonts w:ascii="Times New Roman" w:hAnsi="Times New Roman"/>
          <w:color w:val="000000"/>
          <w:sz w:val="20"/>
          <w:lang w:val="es-AR" w:eastAsia="es-ES_tradnl"/>
        </w:rPr>
        <w:t xml:space="preserve"> los derechos de los inversores eran "reales y no condicionales". En el caso que nos ocupa, los derechos o los intereses de los Demandantes dependían de las decisiones de terceros: primero de las decisiones del Sr. Agarwal y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ymás adelante de la decisión de los </w:t>
      </w:r>
      <w:r w:rsidR="004D2026" w:rsidRPr="00AB7B88">
        <w:rPr>
          <w:rStyle w:val="Bodytext13125pt"/>
          <w:rFonts w:ascii="Times New Roman" w:hAnsi="Times New Roman"/>
          <w:b w:val="0"/>
          <w:smallCaps w:val="0"/>
          <w:color w:val="000000"/>
          <w:sz w:val="20"/>
          <w:lang w:val="es-AR" w:eastAsia="es-ES_tradnl"/>
        </w:rPr>
        <w:t>Trustees</w:t>
      </w:r>
      <w:r w:rsidRPr="00AB7B88">
        <w:rPr>
          <w:rStyle w:val="Bodytext13125pt"/>
          <w:rFonts w:ascii="Times New Roman" w:hAnsi="Times New Roman"/>
          <w:b w:val="0"/>
          <w:smallCaps w:val="0"/>
          <w:color w:val="000000"/>
          <w:sz w:val="20"/>
          <w:lang w:val="es-AR" w:eastAsia="es-ES_tradnl"/>
        </w:rPr>
        <w:t>.</w:t>
      </w:r>
      <w:r w:rsidRPr="00AB7B88">
        <w:rPr>
          <w:rStyle w:val="Bodytext52"/>
          <w:rFonts w:ascii="Times New Roman" w:hAnsi="Times New Roman"/>
          <w:color w:val="000000"/>
          <w:sz w:val="20"/>
          <w:lang w:val="es-AR" w:eastAsia="es-ES_tradnl"/>
        </w:rPr>
        <w:t xml:space="preserve"> Mientras tanto, los Demandantes no tenían ningún derecho o interés sobre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sino solo la esperanza de beneficiarse del </w:t>
      </w:r>
      <w:r w:rsidRPr="00AB7B88">
        <w:rPr>
          <w:rStyle w:val="Bodytext13125pt"/>
          <w:rFonts w:ascii="Times New Roman" w:hAnsi="Times New Roman"/>
          <w:b w:val="0"/>
          <w:smallCaps w:val="0"/>
          <w:color w:val="000000"/>
          <w:sz w:val="20"/>
          <w:lang w:val="es-AR" w:eastAsia="es-ES_tradnl"/>
        </w:rPr>
        <w:t xml:space="preserve">Trust, </w:t>
      </w:r>
      <w:r w:rsidRPr="00AB7B88">
        <w:rPr>
          <w:rStyle w:val="Bodytext52"/>
          <w:rFonts w:ascii="Times New Roman" w:hAnsi="Times New Roman"/>
          <w:color w:val="000000"/>
          <w:sz w:val="20"/>
          <w:lang w:val="es-AR" w:eastAsia="es-ES_tradnl"/>
        </w:rPr>
        <w:t>y el valor de dicha esperanza se asemeja al valor de los intereses que pudiera tener una persona con la expectativa de recibir una herencia. En opinión del Tribunal, una esperanza no es un bien. Es comparable a un beneficio condicional. Conforme se observa en los casos analizados a continuación, los beneficios condicionales no han sido considerados como bienes susceptibles de reunir las condiciones de una inversión.</w:t>
      </w:r>
    </w:p>
    <w:p w14:paraId="41543E43" w14:textId="77777777" w:rsidR="003B3957" w:rsidRPr="00AB7B88" w:rsidRDefault="003B3957" w:rsidP="004F74ED">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el contexto de abordar si el Sr. Nagel tenía un bien o una inversión con arreglo al tratado en cuestión, el tribunal en el caso </w:t>
      </w:r>
      <w:r w:rsidRPr="00AB7B88">
        <w:rPr>
          <w:rStyle w:val="Bodytext13125pt"/>
          <w:rFonts w:ascii="Times New Roman" w:hAnsi="Times New Roman"/>
          <w:b w:val="0"/>
          <w:smallCaps w:val="0"/>
          <w:color w:val="000000"/>
          <w:sz w:val="20"/>
          <w:lang w:val="es-AR" w:eastAsia="es-ES_tradnl"/>
        </w:rPr>
        <w:t>Nagel</w:t>
      </w:r>
      <w:r w:rsidRPr="00AB7B88">
        <w:rPr>
          <w:rStyle w:val="Bodytext52"/>
          <w:rFonts w:ascii="Times New Roman" w:hAnsi="Times New Roman"/>
          <w:color w:val="000000"/>
          <w:sz w:val="20"/>
          <w:lang w:val="es-AR" w:eastAsia="es-ES_tradnl"/>
        </w:rPr>
        <w:t xml:space="preserve"> estableció que el acuerdo de cooperación no era capaz de generar una expectativa legitima de un valor financiero porque el gobierno no se había comprometido a emitir una licencia, sino solo a cooperar con la demandante para obtener una:</w:t>
      </w:r>
    </w:p>
    <w:p w14:paraId="57E55ABE" w14:textId="77777777" w:rsidR="003B3957" w:rsidRPr="00AB7B88" w:rsidRDefault="003B3957" w:rsidP="004F74ED">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El Sr. Nagel no podía hacer nada más que esperar que su cooperación con la empresa checa propiedad del Estado SRa aumentara su posibilidad de participar en la operación de GSM en la República Checa, pero no tenía la certeza de obtener una licencia [...| En consecuencia, el Tribunal Arbitral concluye que los derechos del Sr. Nagel conforme al Acuerdo de Cooperación no constituían un "bien" y una "inversión" según el significado del artículo 1 del Tratado de Inversión</w:t>
      </w:r>
      <w:r w:rsidRPr="00AB7B88">
        <w:rPr>
          <w:rStyle w:val="Bodytext52"/>
          <w:rFonts w:ascii="Times New Roman" w:hAnsi="Times New Roman"/>
          <w:color w:val="000000"/>
          <w:sz w:val="20"/>
          <w:vertAlign w:val="superscript"/>
          <w:lang w:eastAsia="es-ES_tradnl"/>
        </w:rPr>
        <w:footnoteReference w:id="329"/>
      </w:r>
      <w:r w:rsidRPr="00AB7B88">
        <w:rPr>
          <w:rStyle w:val="Bodytext52"/>
          <w:rFonts w:ascii="Times New Roman" w:hAnsi="Times New Roman"/>
          <w:color w:val="000000"/>
          <w:sz w:val="20"/>
          <w:lang w:val="es-AR" w:eastAsia="es-ES_tradnl"/>
        </w:rPr>
        <w:t>.</w:t>
      </w:r>
    </w:p>
    <w:p w14:paraId="14D71307" w14:textId="77777777" w:rsidR="003B3957" w:rsidRPr="00AB7B88" w:rsidRDefault="003B3957" w:rsidP="004F74ED">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La Demandada hizo referencia a otros casos relativos a contingencias que los Demandantes han desestimado </w:t>
      </w:r>
      <w:r w:rsidRPr="00AB7B88">
        <w:rPr>
          <w:rStyle w:val="Bodytext52"/>
          <w:rFonts w:ascii="Times New Roman" w:hAnsi="Times New Roman"/>
          <w:color w:val="000000"/>
          <w:sz w:val="20"/>
          <w:lang w:val="es-AR" w:eastAsia="es-ES_tradnl"/>
        </w:rPr>
        <w:lastRenderedPageBreak/>
        <w:t>porque no crearon "una expectativa legítima de valor financiero</w:t>
      </w:r>
      <w:r w:rsidRPr="00AB7B88">
        <w:rPr>
          <w:rStyle w:val="Bodytext52"/>
          <w:rFonts w:ascii="Times New Roman" w:hAnsi="Times New Roman"/>
          <w:color w:val="000000"/>
          <w:sz w:val="20"/>
          <w:vertAlign w:val="superscript"/>
          <w:lang w:eastAsia="es-ES_tradnl"/>
        </w:rPr>
        <w:footnoteReference w:id="330"/>
      </w:r>
      <w:r w:rsidRPr="00AB7B88">
        <w:rPr>
          <w:rStyle w:val="Bodytext52"/>
          <w:rFonts w:ascii="Times New Roman" w:hAnsi="Times New Roman"/>
          <w:color w:val="000000"/>
          <w:sz w:val="20"/>
          <w:lang w:val="es-AR" w:eastAsia="es-ES_tradnl"/>
        </w:rPr>
        <w:t xml:space="preserve">". Sin embargo, según se desprende del análisis de estos casos, la falta de creación de dicho valor era inherente a su carácter contingente. En </w:t>
      </w:r>
      <w:r w:rsidRPr="00AB7B88">
        <w:rPr>
          <w:rStyle w:val="Bodytext13125pt"/>
          <w:rFonts w:ascii="Times New Roman" w:hAnsi="Times New Roman"/>
          <w:b w:val="0"/>
          <w:smallCaps w:val="0"/>
          <w:color w:val="000000"/>
          <w:sz w:val="20"/>
          <w:lang w:val="es-AR" w:eastAsia="es-ES_tradnl"/>
        </w:rPr>
        <w:t>Generation Ukraine,</w:t>
      </w:r>
      <w:r w:rsidRPr="00AB7B88">
        <w:rPr>
          <w:rStyle w:val="Bodytext52"/>
          <w:rFonts w:ascii="Times New Roman" w:hAnsi="Times New Roman"/>
          <w:color w:val="000000"/>
          <w:sz w:val="20"/>
          <w:lang w:val="es-AR" w:eastAsia="es-ES_tradnl"/>
        </w:rPr>
        <w:t xml:space="preserve"> la demandante solo tenía un "acuerdo para aceptar la cooperación en proyectos de construcción aún por definir</w:t>
      </w:r>
      <w:r w:rsidRPr="00AB7B88">
        <w:rPr>
          <w:rStyle w:val="Bodytext52"/>
          <w:rFonts w:ascii="Times New Roman" w:hAnsi="Times New Roman"/>
          <w:color w:val="000000"/>
          <w:sz w:val="20"/>
          <w:vertAlign w:val="superscript"/>
          <w:lang w:eastAsia="es-ES_tradnl"/>
        </w:rPr>
        <w:footnoteReference w:id="331"/>
      </w:r>
      <w:r w:rsidRPr="00AB7B88">
        <w:rPr>
          <w:rStyle w:val="Bodytext52"/>
          <w:rFonts w:ascii="Times New Roman" w:hAnsi="Times New Roman"/>
          <w:color w:val="000000"/>
          <w:sz w:val="20"/>
          <w:lang w:val="es-AR" w:eastAsia="es-ES_tradnl"/>
        </w:rPr>
        <w:t xml:space="preserve">". De igual manera, en </w:t>
      </w:r>
      <w:r w:rsidRPr="00AB7B88">
        <w:rPr>
          <w:rStyle w:val="Bodytext13125pt"/>
          <w:rFonts w:ascii="Times New Roman" w:hAnsi="Times New Roman"/>
          <w:b w:val="0"/>
          <w:smallCaps w:val="0"/>
          <w:color w:val="000000"/>
          <w:sz w:val="20"/>
          <w:lang w:val="es-AR" w:eastAsia="es-ES_tradnl"/>
        </w:rPr>
        <w:t>PSEG,</w:t>
      </w:r>
      <w:r w:rsidRPr="00AB7B88">
        <w:rPr>
          <w:rStyle w:val="Bodytext52"/>
          <w:rFonts w:ascii="Times New Roman" w:hAnsi="Times New Roman"/>
          <w:color w:val="000000"/>
          <w:sz w:val="20"/>
          <w:lang w:val="es-AR" w:eastAsia="es-ES_tradnl"/>
        </w:rPr>
        <w:t xml:space="preserve"> la demandante solamente tenía "la opción de adquirir la participación patrimonial en la Empresa del Proyecto mediante un Acuerdo de Accionistas que se negociaría más adelante</w:t>
      </w:r>
      <w:r w:rsidRPr="00AB7B88">
        <w:rPr>
          <w:rStyle w:val="Bodytext52"/>
          <w:rFonts w:ascii="Times New Roman" w:hAnsi="Times New Roman"/>
          <w:color w:val="000000"/>
          <w:sz w:val="20"/>
          <w:vertAlign w:val="superscript"/>
          <w:lang w:eastAsia="es-ES_tradnl"/>
        </w:rPr>
        <w:footnoteReference w:id="332"/>
      </w:r>
      <w:r w:rsidRPr="00AB7B88">
        <w:rPr>
          <w:rStyle w:val="Bodytext52"/>
          <w:rFonts w:ascii="Times New Roman" w:hAnsi="Times New Roman"/>
          <w:color w:val="000000"/>
          <w:sz w:val="20"/>
          <w:lang w:val="es-AR" w:eastAsia="es-ES_tradnl"/>
        </w:rPr>
        <w:t xml:space="preserve">". En </w:t>
      </w:r>
      <w:r w:rsidRPr="00AB7B88">
        <w:rPr>
          <w:rStyle w:val="Bodytext13125pt"/>
          <w:rFonts w:ascii="Times New Roman" w:hAnsi="Times New Roman"/>
          <w:b w:val="0"/>
          <w:smallCaps w:val="0"/>
          <w:color w:val="000000"/>
          <w:sz w:val="20"/>
          <w:lang w:val="es-AR" w:eastAsia="es-ES_tradnl"/>
        </w:rPr>
        <w:t>Apotex,</w:t>
      </w:r>
      <w:r w:rsidRPr="00AB7B88">
        <w:rPr>
          <w:rStyle w:val="Bodytext52"/>
          <w:rFonts w:ascii="Times New Roman" w:hAnsi="Times New Roman"/>
          <w:color w:val="000000"/>
          <w:sz w:val="20"/>
          <w:lang w:val="es-AR" w:eastAsia="es-ES_tradnl"/>
        </w:rPr>
        <w:t xml:space="preserve"> la demandante mantuvo "solicitudes aprobadas tentativamente para obtener permisos revocables</w:t>
      </w:r>
      <w:r w:rsidRPr="00AB7B88">
        <w:rPr>
          <w:rStyle w:val="Bodytext52"/>
          <w:rFonts w:ascii="Times New Roman" w:hAnsi="Times New Roman"/>
          <w:color w:val="000000"/>
          <w:sz w:val="20"/>
          <w:vertAlign w:val="superscript"/>
          <w:lang w:eastAsia="es-ES_tradnl"/>
        </w:rPr>
        <w:footnoteReference w:id="333"/>
      </w:r>
      <w:r w:rsidRPr="00AB7B88">
        <w:rPr>
          <w:rStyle w:val="Bodytext52"/>
          <w:rFonts w:ascii="Times New Roman" w:hAnsi="Times New Roman"/>
          <w:color w:val="000000"/>
          <w:sz w:val="20"/>
          <w:lang w:val="es-AR" w:eastAsia="es-ES_tradnl"/>
        </w:rPr>
        <w:t xml:space="preserve">". En </w:t>
      </w:r>
      <w:r w:rsidRPr="00AB7B88">
        <w:rPr>
          <w:rStyle w:val="Bodytext13125pt"/>
          <w:rFonts w:ascii="Times New Roman" w:hAnsi="Times New Roman"/>
          <w:b w:val="0"/>
          <w:smallCaps w:val="0"/>
          <w:color w:val="000000"/>
          <w:sz w:val="20"/>
          <w:lang w:val="es-AR" w:eastAsia="es-ES_tradnl"/>
        </w:rPr>
        <w:t>Joy Mining,</w:t>
      </w:r>
      <w:r w:rsidRPr="00AB7B88">
        <w:rPr>
          <w:rStyle w:val="Bodytext52"/>
          <w:rFonts w:ascii="Times New Roman" w:hAnsi="Times New Roman"/>
          <w:color w:val="000000"/>
          <w:sz w:val="20"/>
          <w:lang w:val="es-AR" w:eastAsia="es-ES_tradnl"/>
        </w:rPr>
        <w:t xml:space="preserve"> no se consideró que una garantía bancaria fuese una inversión porque era un "pasivo contingente</w:t>
      </w:r>
      <w:r w:rsidRPr="00AB7B88">
        <w:rPr>
          <w:rStyle w:val="Bodytext52"/>
          <w:rFonts w:ascii="Times New Roman" w:hAnsi="Times New Roman"/>
          <w:color w:val="000000"/>
          <w:sz w:val="20"/>
          <w:vertAlign w:val="superscript"/>
          <w:lang w:eastAsia="es-ES_tradnl"/>
        </w:rPr>
        <w:footnoteReference w:id="334"/>
      </w:r>
      <w:r w:rsidRPr="00AB7B88">
        <w:rPr>
          <w:rStyle w:val="Bodytext52"/>
          <w:rFonts w:ascii="Times New Roman" w:hAnsi="Times New Roman"/>
          <w:color w:val="000000"/>
          <w:sz w:val="20"/>
          <w:lang w:val="es-AR" w:eastAsia="es-ES_tradnl"/>
        </w:rPr>
        <w:t>".</w:t>
      </w:r>
    </w:p>
    <w:p w14:paraId="1A01AB84"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Tribunal considera que estos casos son comparables al presente porque sus diversos grados de contingencia fueron en realidad la causa de su falta de valor. En sus alegatos, los Demandantes excluyen estos casos del alcance del </w:t>
      </w:r>
      <w:r w:rsidRPr="00AB7B88">
        <w:rPr>
          <w:rStyle w:val="Bodytext31"/>
          <w:rFonts w:ascii="Times New Roman" w:hAnsi="Times New Roman"/>
          <w:color w:val="000000"/>
          <w:sz w:val="20"/>
          <w:lang w:val="es-AR" w:eastAsia="es-ES_tradnl"/>
        </w:rPr>
        <w:t>artículo 1 del TBI</w:t>
      </w:r>
      <w:r w:rsidRPr="00AB7B88">
        <w:rPr>
          <w:rStyle w:val="Bodytext26"/>
          <w:rFonts w:ascii="Times New Roman" w:hAnsi="Times New Roman"/>
          <w:color w:val="000000"/>
          <w:sz w:val="20"/>
          <w:lang w:val="es-AR" w:eastAsia="es-ES_tradnl"/>
        </w:rPr>
        <w:t xml:space="preserve"> </w:t>
      </w:r>
      <w:r w:rsidRPr="00AB7B88">
        <w:rPr>
          <w:rStyle w:val="Bodytext52"/>
          <w:rFonts w:ascii="Times New Roman" w:hAnsi="Times New Roman"/>
          <w:color w:val="000000"/>
          <w:sz w:val="20"/>
          <w:lang w:val="es-AR" w:eastAsia="es-ES_tradnl"/>
        </w:rPr>
        <w:t>por su falta de valor, pero no analizan el motivo por el que carecían de valor. Las expectativas que podrían haber tenido las demandantes en esos casos no eran bienes.</w:t>
      </w:r>
    </w:p>
    <w:p w14:paraId="4D1DB4BA"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Como parte del argumento según el cual no es necesario cuantifícar el bien o el interés económico protegido para que exista una inversión, el profesor Reisman hizo referencia a instancias de intereses económicos que "podrían estar sujetos, en lo que respecta a su valor económico, a decisiones de terceros</w:t>
      </w:r>
      <w:r w:rsidRPr="00AB7B88">
        <w:rPr>
          <w:rStyle w:val="Bodytext52"/>
          <w:rFonts w:ascii="Times New Roman" w:hAnsi="Times New Roman"/>
          <w:color w:val="000000"/>
          <w:sz w:val="20"/>
          <w:vertAlign w:val="superscript"/>
          <w:lang w:eastAsia="es-ES_tradnl"/>
        </w:rPr>
        <w:footnoteReference w:id="335"/>
      </w:r>
      <w:r w:rsidRPr="00AB7B88">
        <w:rPr>
          <w:rStyle w:val="Bodytext52"/>
          <w:rFonts w:ascii="Times New Roman" w:hAnsi="Times New Roman"/>
          <w:color w:val="000000"/>
          <w:sz w:val="20"/>
          <w:lang w:val="es-AR" w:eastAsia="es-ES_tradnl"/>
        </w:rPr>
        <w:t xml:space="preserve">". En particular, hace referencia al valor del interés económico protegido de los accionistas minoritarios sujetos a la discrecionalidad de los accionistas mayoritarios y a licencias o concesiones susceptibles de ser revocadas. El Tribunal concuerda con que la titularidad real sobre las acciones de accionistas minoritarios, concesiones o </w:t>
      </w:r>
      <w:r w:rsidRPr="00AB7B88">
        <w:rPr>
          <w:rStyle w:val="Bodytext52"/>
          <w:rFonts w:ascii="Times New Roman" w:hAnsi="Times New Roman"/>
          <w:color w:val="000000"/>
          <w:sz w:val="20"/>
          <w:lang w:val="es-AR" w:eastAsia="es-ES_tradnl"/>
        </w:rPr>
        <w:lastRenderedPageBreak/>
        <w:t>licencias reuniría las condiciones para que estas fueran consideradas bienes, incluso si su valor pudiese verse afectado por decisiones de terceros. Pero esta no es la situación de los Demandantes antes del 1 de agosto de 2016 en el presente caso. En estos ejemplos, los accionistas son propietarios de las acciones, la concesión le ha sido otorgada a las concesionarias y las licenciatarias han recibido la licencia. La titularidad de las acciones o la existencia de los derechos inherentes a la concesión o la licencia no dependerían de la decisión de un tercero.</w:t>
      </w:r>
    </w:p>
    <w:p w14:paraId="07AB323E"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Por estos motivos, el Tribunal concluye que los intereses de los Demandantes en un </w:t>
      </w:r>
      <w:r w:rsidRPr="00AB7B88">
        <w:rPr>
          <w:rStyle w:val="Bodytext13125pt"/>
          <w:rFonts w:ascii="Times New Roman" w:hAnsi="Times New Roman"/>
          <w:b w:val="0"/>
          <w:smallCaps w:val="0"/>
          <w:color w:val="000000"/>
          <w:sz w:val="20"/>
          <w:lang w:val="es-AR" w:eastAsia="es-ES_tradnl"/>
        </w:rPr>
        <w:t>discretionary trust</w:t>
      </w:r>
      <w:r w:rsidRPr="00AB7B88">
        <w:rPr>
          <w:rStyle w:val="Bodytext52"/>
          <w:rFonts w:ascii="Times New Roman" w:hAnsi="Times New Roman"/>
          <w:color w:val="000000"/>
          <w:sz w:val="20"/>
          <w:lang w:val="es-AR" w:eastAsia="es-ES_tradnl"/>
        </w:rPr>
        <w:t xml:space="preserve"> no constituían bienes para los fines del TBI y, por ello, los Demandantes carecían de legitimación antes de convertirse en </w:t>
      </w:r>
      <w:r w:rsidRPr="00AB7B88">
        <w:rPr>
          <w:rStyle w:val="Bodytext13125pt"/>
          <w:rFonts w:ascii="Times New Roman" w:hAnsi="Times New Roman"/>
          <w:b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el 1 de agosto de 2016. A la luz de esta conclusión, el Tribunal ahora abordará el argumento de que el Tribunal ostenta jurisdicción y los Demandantes ostentan legitimación sobre la base de la doctrina del hecho continuo.</w:t>
      </w:r>
    </w:p>
    <w:p w14:paraId="4DB332DD" w14:textId="77777777" w:rsidR="003B3957" w:rsidRPr="00AB7B88" w:rsidRDefault="003B3957" w:rsidP="00692F21">
      <w:pPr>
        <w:pStyle w:val="Heading20"/>
        <w:keepNext/>
        <w:keepLines/>
        <w:numPr>
          <w:ilvl w:val="0"/>
          <w:numId w:val="47"/>
        </w:numPr>
        <w:shd w:val="clear" w:color="auto" w:fill="auto"/>
        <w:tabs>
          <w:tab w:val="left" w:pos="340"/>
        </w:tabs>
        <w:spacing w:before="380" w:after="0" w:line="360" w:lineRule="auto"/>
        <w:ind w:firstLine="0"/>
        <w:rPr>
          <w:rFonts w:ascii="Times New Roman" w:hAnsi="Times New Roman"/>
          <w:b w:val="0"/>
          <w:sz w:val="20"/>
          <w:lang w:val="es-AR"/>
        </w:rPr>
      </w:pPr>
      <w:bookmarkStart w:id="95" w:name="bookmark96"/>
      <w:bookmarkStart w:id="96" w:name="bookmark97"/>
      <w:r w:rsidRPr="00AB7B88">
        <w:rPr>
          <w:rStyle w:val="Heading2"/>
          <w:rFonts w:ascii="Times New Roman" w:hAnsi="Times New Roman"/>
          <w:b/>
          <w:color w:val="000000"/>
          <w:sz w:val="20"/>
          <w:lang w:val="es-AR" w:eastAsia="es-ES_tradnl"/>
        </w:rPr>
        <w:t>¿Es aplicable la doctrina del hecho continuo?</w:t>
      </w:r>
      <w:bookmarkEnd w:id="95"/>
      <w:bookmarkEnd w:id="96"/>
    </w:p>
    <w:p w14:paraId="6EB326EB"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Los Demandantes han sostenido que, incluso si el 'Tribunal determina que los Demandantes ostentan legitimación solo a partir del 1 de agosto de 2016, momento en el cual se convirtieron en </w:t>
      </w:r>
      <w:r w:rsidRPr="00AB7B88">
        <w:rPr>
          <w:rStyle w:val="Bodytext13125pt"/>
          <w:rFonts w:ascii="Times New Roman" w:hAnsi="Times New Roman"/>
          <w:b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el Tribunal aún ostentaría jurisdicción sobre la base de la doctrina del hecho continuo en incumplimiento del TBI. La Demandada sostiene que la doctrina del hecho continuo no resulta aplicable porque: i) la controversia existía antes de agosto de 2016; ii) dicha doctrina no permite fundar pretensiones en una presunta conducta ilícita que tuvo lugar antes de la realización de la inversión; y iii) los derechos de los Demandantes se crearon de modo abusivo con el fin de incoar la acción.</w:t>
      </w:r>
    </w:p>
    <w:p w14:paraId="69E8EF05"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En primer lugar, el Tribunal abordará la pregunta de la fecha en la que surgió la controversia.</w:t>
      </w:r>
    </w:p>
    <w:p w14:paraId="28267127" w14:textId="77777777" w:rsidR="003B3957" w:rsidRPr="00AB7B88" w:rsidRDefault="003B3957" w:rsidP="00692F21">
      <w:pPr>
        <w:pStyle w:val="Heading20"/>
        <w:keepNext/>
        <w:keepLines/>
        <w:numPr>
          <w:ilvl w:val="0"/>
          <w:numId w:val="52"/>
        </w:numPr>
        <w:shd w:val="clear" w:color="auto" w:fill="auto"/>
        <w:tabs>
          <w:tab w:val="left" w:pos="340"/>
        </w:tabs>
        <w:spacing w:before="380" w:after="0" w:line="360" w:lineRule="auto"/>
        <w:ind w:left="522" w:hanging="522"/>
        <w:rPr>
          <w:rFonts w:ascii="Times New Roman" w:hAnsi="Times New Roman"/>
          <w:b w:val="0"/>
          <w:sz w:val="20"/>
        </w:rPr>
      </w:pPr>
      <w:bookmarkStart w:id="97" w:name="bookmark98"/>
      <w:bookmarkStart w:id="98" w:name="bookmark99"/>
      <w:r w:rsidRPr="00AB7B88">
        <w:rPr>
          <w:rStyle w:val="Heading2"/>
          <w:rFonts w:ascii="Times New Roman" w:hAnsi="Times New Roman"/>
          <w:b/>
          <w:color w:val="000000"/>
          <w:sz w:val="20"/>
          <w:lang w:eastAsia="es-ES_tradnl"/>
        </w:rPr>
        <w:t>¿Cuándo surgió la controversia?</w:t>
      </w:r>
      <w:bookmarkEnd w:id="97"/>
      <w:bookmarkEnd w:id="98"/>
    </w:p>
    <w:p w14:paraId="65CFB2F1"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La Notificación de Disputa es del 3 de octubre de 2016. Dos meses antes, el 1 de agosto de 2016, 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se había convertido en un </w:t>
      </w:r>
      <w:r w:rsidRPr="00AB7B88">
        <w:rPr>
          <w:rStyle w:val="Bodytext13125pt"/>
          <w:rFonts w:ascii="Times New Roman" w:hAnsi="Times New Roman"/>
          <w:b w:val="0"/>
          <w:smallCaps w:val="0"/>
          <w:color w:val="000000"/>
          <w:sz w:val="20"/>
          <w:lang w:val="es-AR" w:eastAsia="es-ES_tradnl"/>
        </w:rPr>
        <w:t>fixed trust.</w:t>
      </w:r>
      <w:r w:rsidRPr="00AB7B88">
        <w:rPr>
          <w:rStyle w:val="Bodytext52"/>
          <w:rFonts w:ascii="Times New Roman" w:hAnsi="Times New Roman"/>
          <w:color w:val="000000"/>
          <w:sz w:val="20"/>
          <w:lang w:val="es-AR" w:eastAsia="es-ES_tradnl"/>
        </w:rPr>
        <w:t xml:space="preserve"> En esa fecha, los Demandantes pasaron a ser </w:t>
      </w:r>
      <w:r w:rsidRPr="00AB7B88">
        <w:rPr>
          <w:rStyle w:val="Bodytext13125pt"/>
          <w:rFonts w:ascii="Times New Roman" w:hAnsi="Times New Roman"/>
          <w:b w:val="0"/>
          <w:smallCaps w:val="0"/>
          <w:color w:val="000000"/>
          <w:sz w:val="20"/>
          <w:lang w:val="es-AR" w:eastAsia="es-ES_tradnl"/>
        </w:rPr>
        <w:t>beneficial owners</w:t>
      </w:r>
      <w:r w:rsidRPr="00AB7B88">
        <w:rPr>
          <w:rStyle w:val="Bodytext52"/>
          <w:rFonts w:ascii="Times New Roman" w:hAnsi="Times New Roman"/>
          <w:color w:val="000000"/>
          <w:sz w:val="20"/>
          <w:lang w:val="es-AR" w:eastAsia="es-ES_tradnl"/>
        </w:rPr>
        <w:t xml:space="preserve"> de los bienes del </w:t>
      </w:r>
      <w:r w:rsidRPr="00AB7B88">
        <w:rPr>
          <w:rStyle w:val="Bodytext13125pt"/>
          <w:rFonts w:ascii="Times New Roman" w:hAnsi="Times New Roman"/>
          <w:b w:val="0"/>
          <w:smallCaps w:val="0"/>
          <w:color w:val="000000"/>
          <w:sz w:val="20"/>
          <w:lang w:val="es-AR" w:eastAsia="es-ES_tradnl"/>
        </w:rPr>
        <w:t>Trust.</w:t>
      </w:r>
      <w:r w:rsidRPr="00AB7B88">
        <w:rPr>
          <w:rStyle w:val="Bodytext52"/>
          <w:rFonts w:ascii="Times New Roman" w:hAnsi="Times New Roman"/>
          <w:color w:val="000000"/>
          <w:sz w:val="20"/>
          <w:lang w:val="es-AR" w:eastAsia="es-ES_tradnl"/>
        </w:rPr>
        <w:t xml:space="preserve"> En la medida en que no tenían una inversión en Uruguay en los términos requeridos por el TBI, no podrían haber puesto sus bienes bajo la protección del TBI.</w:t>
      </w:r>
    </w:p>
    <w:p w14:paraId="6C10B638"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Uruguay no identificó el momento en el que surgió la controversia más allá de afirmar que surgió mucho antes del 1 de agosto de 2016. Según los Demandantes, la controversia surgió en una fecha posterior. Para los fines del TBI y la jurisdicción del Tribunal, la controversia debe haberse originado después de que los Demandantes se convirtieran en </w:t>
      </w:r>
      <w:r w:rsidRPr="00AB7B88">
        <w:rPr>
          <w:rStyle w:val="Bodytext13125pt"/>
          <w:rFonts w:ascii="Times New Roman" w:hAnsi="Times New Roman"/>
          <w:b w:val="0"/>
          <w:smallCaps w:val="0"/>
          <w:color w:val="000000"/>
          <w:sz w:val="20"/>
          <w:lang w:val="es-AR" w:eastAsia="es-ES_tradnl"/>
        </w:rPr>
        <w:t>beneficial owners.</w:t>
      </w:r>
    </w:p>
    <w:p w14:paraId="582B670C"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lastRenderedPageBreak/>
        <w:t xml:space="preserve">A fin de establecer el momento en el que surge una controversia, los tribunales internacionales emplean como punto de partida la definición de la CPJI de "controversia" en el caso </w:t>
      </w:r>
      <w:r w:rsidRPr="00AB7B88">
        <w:rPr>
          <w:rStyle w:val="Bodytext13125pt"/>
          <w:rFonts w:ascii="Times New Roman" w:hAnsi="Times New Roman"/>
          <w:b w:val="0"/>
          <w:smallCaps w:val="0"/>
          <w:color w:val="000000"/>
          <w:sz w:val="20"/>
          <w:lang w:val="es-AR" w:eastAsia="es-ES_tradnl"/>
        </w:rPr>
        <w:t xml:space="preserve">Mavrommatis. </w:t>
      </w:r>
      <w:r w:rsidRPr="00AB7B88">
        <w:rPr>
          <w:rStyle w:val="Bodytext52"/>
          <w:rFonts w:ascii="Times New Roman" w:hAnsi="Times New Roman"/>
          <w:color w:val="000000"/>
          <w:sz w:val="20"/>
          <w:lang w:val="es-AR" w:eastAsia="es-ES_tradnl"/>
        </w:rPr>
        <w:t>La CPJI definió "controversia" como un "desacuerdo acerca de una cuestión de hecho o de derecho, un conflicto de opiniones jurídicas o de intereses entre dos personas</w:t>
      </w:r>
      <w:r w:rsidRPr="00AB7B88">
        <w:rPr>
          <w:rStyle w:val="Bodytext52"/>
          <w:rFonts w:ascii="Times New Roman" w:hAnsi="Times New Roman"/>
          <w:color w:val="000000"/>
          <w:sz w:val="20"/>
          <w:vertAlign w:val="superscript"/>
          <w:lang w:eastAsia="es-ES_tradnl"/>
        </w:rPr>
        <w:footnoteReference w:id="336"/>
      </w:r>
      <w:r w:rsidRPr="00AB7B88">
        <w:rPr>
          <w:rStyle w:val="Bodytext52"/>
          <w:rFonts w:ascii="Times New Roman" w:hAnsi="Times New Roman"/>
          <w:color w:val="000000"/>
          <w:sz w:val="20"/>
          <w:lang w:val="es-AR" w:eastAsia="es-ES_tradnl"/>
        </w:rPr>
        <w:t xml:space="preserve">". Esta definición es el punto de partida, pero su aplicación a las circunstancias específicas de cada caso varía según la gama de factores a considerar. Los Demandantes hacen referencia a la descripción que hizo el tribunal en el caso </w:t>
      </w:r>
      <w:r w:rsidRPr="00AB7B88">
        <w:rPr>
          <w:rStyle w:val="Bodytext13125pt"/>
          <w:rFonts w:ascii="Times New Roman" w:hAnsi="Times New Roman"/>
          <w:b w:val="0"/>
          <w:smallCaps w:val="0"/>
          <w:color w:val="000000"/>
          <w:sz w:val="20"/>
          <w:lang w:val="es-AR" w:eastAsia="es-ES_tradnl"/>
        </w:rPr>
        <w:t>Maffezini</w:t>
      </w:r>
      <w:r w:rsidRPr="00AB7B88">
        <w:rPr>
          <w:rStyle w:val="Bodytext52"/>
          <w:rFonts w:ascii="Times New Roman" w:hAnsi="Times New Roman"/>
          <w:color w:val="000000"/>
          <w:sz w:val="20"/>
          <w:lang w:val="es-AR" w:eastAsia="es-ES_tradnl"/>
        </w:rPr>
        <w:t xml:space="preserve"> de los eventos desencadenantes de una controversia:</w:t>
      </w:r>
    </w:p>
    <w:p w14:paraId="141D15FF" w14:textId="77777777" w:rsidR="003B3957" w:rsidRPr="00AB7B88" w:rsidRDefault="003B3957" w:rsidP="0054467F">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Comienza con la expresión de un desacuerdo y la </w:t>
      </w:r>
      <w:r w:rsidRPr="00AB7B88">
        <w:rPr>
          <w:rStyle w:val="Bodytext41"/>
          <w:rFonts w:ascii="Times New Roman" w:hAnsi="Times New Roman"/>
          <w:color w:val="000000"/>
          <w:sz w:val="20"/>
          <w:lang w:val="es-AR" w:eastAsia="es-ES_tradnl"/>
        </w:rPr>
        <w:t>afir</w:t>
      </w:r>
      <w:r w:rsidRPr="00AB7B88">
        <w:rPr>
          <w:rStyle w:val="Bodytext52"/>
          <w:rFonts w:ascii="Times New Roman" w:hAnsi="Times New Roman"/>
          <w:color w:val="000000"/>
          <w:sz w:val="20"/>
          <w:lang w:val="es-AR" w:eastAsia="es-ES_tradnl"/>
        </w:rPr>
        <w:t>mación de puntos de vista divergentes. Con el tiempo, estos acontecimientos adquieren un significado jurídico preciso mediante la formulación de reclamaciones jurídicas, su discusión y su rechazo eventual o falta de respuesta de la otra parte. El conflicto de puntos de vista jurídicos y de intereses solo estará presente en esta última etapa, aunque los hechos subyacentes tengan una fecha anterior. También se ha comentado acertadamente que la existencia de la controversia presupone un mínimo de comunicación entre las partes, en la que una de ellas plantea el problema a la otra, y ésta se opone a la posición del reclamante en forma directa o indirecta</w:t>
      </w:r>
      <w:r w:rsidRPr="00AB7B88">
        <w:rPr>
          <w:rStyle w:val="Bodytext52"/>
          <w:rFonts w:ascii="Times New Roman" w:hAnsi="Times New Roman"/>
          <w:color w:val="000000"/>
          <w:sz w:val="20"/>
          <w:vertAlign w:val="superscript"/>
          <w:lang w:eastAsia="es-ES_tradnl"/>
        </w:rPr>
        <w:footnoteReference w:id="337"/>
      </w:r>
      <w:r w:rsidRPr="00AB7B88">
        <w:rPr>
          <w:rStyle w:val="Bodytext52"/>
          <w:rFonts w:ascii="Times New Roman" w:hAnsi="Times New Roman"/>
          <w:color w:val="000000"/>
          <w:sz w:val="20"/>
          <w:lang w:val="es-AR" w:eastAsia="es-ES_tradnl"/>
        </w:rPr>
        <w:t>.</w:t>
      </w:r>
    </w:p>
    <w:p w14:paraId="3AE19AEC"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tribunal en el caso </w:t>
      </w:r>
      <w:r w:rsidRPr="00AB7B88">
        <w:rPr>
          <w:rStyle w:val="Bodytext13125pt"/>
          <w:rFonts w:ascii="Times New Roman" w:hAnsi="Times New Roman"/>
          <w:b w:val="0"/>
          <w:smallCaps w:val="0"/>
          <w:color w:val="000000"/>
          <w:sz w:val="20"/>
          <w:lang w:val="es-AR" w:eastAsia="es-ES_tradnl"/>
        </w:rPr>
        <w:t>Maffezini</w:t>
      </w:r>
      <w:r w:rsidRPr="00AB7B88">
        <w:rPr>
          <w:rStyle w:val="Bodytext52"/>
          <w:rFonts w:ascii="Times New Roman" w:hAnsi="Times New Roman"/>
          <w:color w:val="000000"/>
          <w:sz w:val="20"/>
          <w:lang w:val="es-AR" w:eastAsia="es-ES_tradnl"/>
        </w:rPr>
        <w:t xml:space="preserve"> concluyó que los acontecimientos que desencadenaron la controversia habían sido objeto de discusión entre las partes durante varios años antes de la entrada en vigor del tratado de inversiones en cuestión, pero estas discusiones no produjeron "el co</w:t>
      </w:r>
      <w:r w:rsidRPr="00AB7B88">
        <w:rPr>
          <w:rStyle w:val="Bodytext41"/>
          <w:rFonts w:ascii="Times New Roman" w:hAnsi="Times New Roman"/>
          <w:color w:val="000000"/>
          <w:sz w:val="20"/>
          <w:lang w:val="es-AR" w:eastAsia="es-ES_tradnl"/>
        </w:rPr>
        <w:t>nfli</w:t>
      </w:r>
      <w:r w:rsidRPr="00AB7B88">
        <w:rPr>
          <w:rStyle w:val="Bodytext52"/>
          <w:rFonts w:ascii="Times New Roman" w:hAnsi="Times New Roman"/>
          <w:color w:val="000000"/>
          <w:sz w:val="20"/>
          <w:lang w:val="es-AR" w:eastAsia="es-ES_tradnl"/>
        </w:rPr>
        <w:t>cto de puntos de vista jurídicos y de intereses" necesario para convertirse en una controversia hasta después de la entrada en vigor del tratado. Por ello, el tribunal tuvo jurisdicción para abordar la controversia.</w:t>
      </w:r>
    </w:p>
    <w:p w14:paraId="7C012DEA"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De manera similar, el tribunal en el caso </w:t>
      </w:r>
      <w:r w:rsidRPr="00AB7B88">
        <w:rPr>
          <w:rStyle w:val="Bodytext13125pt"/>
          <w:rFonts w:ascii="Times New Roman" w:hAnsi="Times New Roman"/>
          <w:b w:val="0"/>
          <w:smallCaps w:val="0"/>
          <w:color w:val="000000"/>
          <w:sz w:val="20"/>
          <w:lang w:val="es-AR" w:eastAsia="es-ES_tradnl"/>
        </w:rPr>
        <w:t>Lucchetti,</w:t>
      </w:r>
      <w:r w:rsidRPr="00AB7B88">
        <w:rPr>
          <w:rStyle w:val="Bodytext52"/>
          <w:rFonts w:ascii="Times New Roman" w:hAnsi="Times New Roman"/>
          <w:color w:val="000000"/>
          <w:sz w:val="20"/>
          <w:lang w:val="es-AR" w:eastAsia="es-ES_tradnl"/>
        </w:rPr>
        <w:t xml:space="preserve"> otro caso al que se remiten los Demandantes, concluyó que "existe una controversia cuando las partes mantienen reclamaciones de derecho o de hecho contrapuestas referentes a sus respectivos derechos u obligaciones, o cuando 'la reclamación de una parte se opone positivamente a la de la otra’</w:t>
      </w:r>
      <w:r w:rsidRPr="00AB7B88">
        <w:rPr>
          <w:rStyle w:val="Bodytext52"/>
          <w:rFonts w:ascii="Times New Roman" w:hAnsi="Times New Roman"/>
          <w:color w:val="000000"/>
          <w:sz w:val="20"/>
          <w:vertAlign w:val="superscript"/>
          <w:lang w:eastAsia="es-ES_tradnl"/>
        </w:rPr>
        <w:footnoteReference w:id="338"/>
      </w:r>
      <w:r w:rsidRPr="00AB7B88">
        <w:rPr>
          <w:rStyle w:val="Bodytext52"/>
          <w:rFonts w:ascii="Times New Roman" w:hAnsi="Times New Roman"/>
          <w:color w:val="000000"/>
          <w:sz w:val="20"/>
          <w:lang w:val="es-AR" w:eastAsia="es-ES_tradnl"/>
        </w:rPr>
        <w:t>". Sin embargo, en ese caso el tribunal estableció que la controversia existía antes de la entrada en vigor del Convenio de inversiones y las demandantes:</w:t>
      </w:r>
    </w:p>
    <w:p w14:paraId="544B7693" w14:textId="77777777" w:rsidR="003B3957" w:rsidRPr="00AB7B88" w:rsidRDefault="003B3957" w:rsidP="00D27D24">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lastRenderedPageBreak/>
        <w:t xml:space="preserve">tienen derecho a que este Tribunal se pronuncie sobre los derechos y obligaciones establecidos en el Convenio Bilateral, pero sólo si y cuando a través de la reclamación se busque la resolución de una controversia que conforme al Artículo 2 del Convenio Bilateral no hubiera sido planteada antes de la entrada en vigencia de ese convenio. La alegación de una reclamación en el marco del Convenio Bilateral, por sólidos que sean sus fundamentos, no tiene ni puede tener como resultado la anulación o privación de sentido de la reserva </w:t>
      </w:r>
      <w:r w:rsidRPr="00AB7B88">
        <w:rPr>
          <w:rStyle w:val="Bodytext13125pt"/>
          <w:rFonts w:ascii="Times New Roman" w:hAnsi="Times New Roman"/>
          <w:b w:val="0"/>
          <w:bCs w:val="0"/>
          <w:smallCaps w:val="0"/>
          <w:color w:val="000000"/>
          <w:sz w:val="20"/>
          <w:lang w:val="es-AR" w:eastAsia="es-ES_tradnl"/>
        </w:rPr>
        <w:t>ratione temporis</w:t>
      </w:r>
      <w:r w:rsidRPr="00AB7B88">
        <w:rPr>
          <w:rStyle w:val="Bodytext52"/>
          <w:rFonts w:ascii="Times New Roman" w:hAnsi="Times New Roman"/>
          <w:color w:val="000000"/>
          <w:sz w:val="20"/>
          <w:lang w:val="es-AR" w:eastAsia="es-ES_tradnl"/>
        </w:rPr>
        <w:t xml:space="preserve"> enunciada en el Artículo 2 del Convenio Bilateral</w:t>
      </w:r>
      <w:r w:rsidRPr="00AB7B88">
        <w:rPr>
          <w:rStyle w:val="Bodytext52"/>
          <w:rFonts w:ascii="Times New Roman" w:hAnsi="Times New Roman"/>
          <w:color w:val="000000"/>
          <w:sz w:val="20"/>
          <w:vertAlign w:val="superscript"/>
          <w:lang w:eastAsia="es-ES_tradnl"/>
        </w:rPr>
        <w:footnoteReference w:id="339"/>
      </w:r>
      <w:r w:rsidRPr="00AB7B88">
        <w:rPr>
          <w:rStyle w:val="Bodytext52"/>
          <w:rFonts w:ascii="Times New Roman" w:hAnsi="Times New Roman"/>
          <w:color w:val="000000"/>
          <w:sz w:val="20"/>
          <w:lang w:val="es-AR" w:eastAsia="es-ES_tradnl"/>
        </w:rPr>
        <w:t>.</w:t>
      </w:r>
    </w:p>
    <w:p w14:paraId="6E10B5F3"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rPr>
      </w:pPr>
      <w:r w:rsidRPr="00AB7B88">
        <w:rPr>
          <w:rStyle w:val="Bodytext52"/>
          <w:rFonts w:ascii="Times New Roman" w:hAnsi="Times New Roman"/>
          <w:color w:val="000000"/>
          <w:sz w:val="20"/>
          <w:lang w:val="es-AR" w:eastAsia="es-ES_tradnl"/>
        </w:rPr>
        <w:t xml:space="preserve">Los Demandantes también se remiten a la interpretación de la definición de </w:t>
      </w:r>
      <w:r w:rsidRPr="00AB7B88">
        <w:rPr>
          <w:rStyle w:val="Bodytext13125pt"/>
          <w:rFonts w:ascii="Times New Roman" w:hAnsi="Times New Roman"/>
          <w:b w:val="0"/>
          <w:bCs w:val="0"/>
          <w:smallCaps w:val="0"/>
          <w:color w:val="000000"/>
          <w:sz w:val="20"/>
          <w:lang w:val="es-AR" w:eastAsia="es-ES_tradnl"/>
        </w:rPr>
        <w:t>Mavrommatis</w:t>
      </w:r>
      <w:r w:rsidRPr="00AB7B88">
        <w:rPr>
          <w:rStyle w:val="Bodytext52"/>
          <w:rFonts w:ascii="Times New Roman" w:hAnsi="Times New Roman"/>
          <w:color w:val="000000"/>
          <w:sz w:val="20"/>
          <w:lang w:val="es-AR" w:eastAsia="es-ES_tradnl"/>
        </w:rPr>
        <w:t xml:space="preserve"> por parte del profesor Gaillard en su opinión disidente en el caso </w:t>
      </w:r>
      <w:r w:rsidRPr="00AB7B88">
        <w:rPr>
          <w:rStyle w:val="Bodytext13125pt"/>
          <w:rFonts w:ascii="Times New Roman" w:hAnsi="Times New Roman"/>
          <w:b w:val="0"/>
          <w:bCs w:val="0"/>
          <w:smallCaps w:val="0"/>
          <w:color w:val="000000"/>
          <w:sz w:val="20"/>
          <w:lang w:val="es-AR" w:eastAsia="es-ES_tradnl"/>
        </w:rPr>
        <w:t>EuroGas.</w:t>
      </w:r>
      <w:r w:rsidRPr="00AB7B88">
        <w:rPr>
          <w:rStyle w:val="Bodytext52"/>
          <w:rFonts w:ascii="Times New Roman" w:hAnsi="Times New Roman"/>
          <w:color w:val="000000"/>
          <w:sz w:val="20"/>
          <w:lang w:val="es-AR" w:eastAsia="es-ES_tradnl"/>
        </w:rPr>
        <w:t xml:space="preserve"> En dicho caso, las partes divergieron sobre si la controversia planteada ante los tribunales eslovacos antes del comienzo del arbitraje debía tratarse como la misma controversia que la controversia al amparo del tratado bilateral de inversiones entre Canadá y Eslovaquia. </w:t>
      </w:r>
      <w:r w:rsidRPr="00AB7B88">
        <w:rPr>
          <w:rStyle w:val="Bodytext52"/>
          <w:rFonts w:ascii="Times New Roman" w:hAnsi="Times New Roman"/>
          <w:color w:val="000000"/>
          <w:sz w:val="20"/>
          <w:lang w:eastAsia="es-ES_tradnl"/>
        </w:rPr>
        <w:t>En opinión del profesor Gaillard:</w:t>
      </w:r>
    </w:p>
    <w:p w14:paraId="12210F3C" w14:textId="77777777" w:rsidR="003B3957" w:rsidRPr="00AB7B88" w:rsidRDefault="003B3957" w:rsidP="000639DA">
      <w:pPr>
        <w:pStyle w:val="Bodytext1"/>
        <w:shd w:val="clear" w:color="auto" w:fill="auto"/>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[...]una controversia surge en el momento en que surge un desacuerdo entre las partes acerca de cuestiones de hecho o de derecho. A su vez, un desacuerdo surge cuando las pretensiones o las posturas de una de las partes acerca de dichas cuestiones de hecho o de derecho son disputadas</w:t>
      </w:r>
      <w:r w:rsidR="000639DA" w:rsidRPr="00AB7B88">
        <w:rPr>
          <w:sz w:val="20"/>
          <w:lang w:val="es-AR"/>
        </w:rPr>
        <w:t xml:space="preserve"> </w:t>
      </w:r>
      <w:r w:rsidR="000639DA" w:rsidRPr="00AB7B88">
        <w:rPr>
          <w:rStyle w:val="Bodytext52"/>
          <w:rFonts w:ascii="Times New Roman" w:hAnsi="Times New Roman"/>
          <w:color w:val="000000"/>
          <w:sz w:val="20"/>
          <w:lang w:val="es-AR" w:eastAsia="es-ES_tradnl"/>
        </w:rPr>
        <w:t xml:space="preserve">o </w:t>
      </w:r>
      <w:r w:rsidRPr="00AB7B88">
        <w:rPr>
          <w:rStyle w:val="Bodytext52"/>
          <w:rFonts w:ascii="Times New Roman" w:hAnsi="Times New Roman"/>
          <w:color w:val="000000"/>
          <w:sz w:val="20"/>
          <w:lang w:val="es-AR" w:eastAsia="es-ES_tradnl"/>
        </w:rPr>
        <w:t>finalmente ignoradas por la otra Parte. Por ende, una controversia presupone la existencia del marco de hecho y de derecho en el que se basa el desacuerdo y no puede surgir hasta la aparición de la totalidad de dichos elementos constitutivos</w:t>
      </w:r>
      <w:r w:rsidRPr="00AB7B88">
        <w:rPr>
          <w:rStyle w:val="Bodytext52"/>
          <w:rFonts w:ascii="Times New Roman" w:hAnsi="Times New Roman"/>
          <w:color w:val="000000"/>
          <w:sz w:val="20"/>
          <w:vertAlign w:val="superscript"/>
          <w:lang w:eastAsia="es-ES_tradnl"/>
        </w:rPr>
        <w:footnoteReference w:id="340"/>
      </w:r>
      <w:r w:rsidRPr="00AB7B88">
        <w:rPr>
          <w:rStyle w:val="Bodytext52"/>
          <w:rFonts w:ascii="Times New Roman" w:hAnsi="Times New Roman"/>
          <w:color w:val="000000"/>
          <w:sz w:val="20"/>
          <w:lang w:val="es-AR" w:eastAsia="es-ES_tradnl"/>
        </w:rPr>
        <w:t>.</w:t>
      </w:r>
    </w:p>
    <w:p w14:paraId="19523044"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Por otra parte, para la mayoría de los miembros del tribunal, "[un] co</w:t>
      </w:r>
      <w:r w:rsidRPr="00AB7B88">
        <w:rPr>
          <w:rStyle w:val="Bodytext41"/>
          <w:rFonts w:ascii="Times New Roman" w:hAnsi="Times New Roman"/>
          <w:color w:val="000000"/>
          <w:sz w:val="20"/>
          <w:lang w:val="es-AR" w:eastAsia="es-ES_tradnl"/>
        </w:rPr>
        <w:t>nfli</w:t>
      </w:r>
      <w:r w:rsidRPr="00AB7B88">
        <w:rPr>
          <w:rStyle w:val="Bodytext52"/>
          <w:rFonts w:ascii="Times New Roman" w:hAnsi="Times New Roman"/>
          <w:color w:val="000000"/>
          <w:sz w:val="20"/>
          <w:lang w:val="es-AR" w:eastAsia="es-ES_tradnl"/>
        </w:rPr>
        <w:t>cto de opiniones jurídicas no requiere de la expresión de todos los posibles argumentos y fundamentos legales en respaldo de</w:t>
      </w:r>
      <w:r w:rsidR="009D2BAA" w:rsidRPr="00AB7B88">
        <w:rPr>
          <w:sz w:val="20"/>
          <w:lang w:val="es-AR"/>
        </w:rPr>
        <w:t xml:space="preserve"> </w:t>
      </w:r>
      <w:r w:rsidRPr="00AB7B88">
        <w:rPr>
          <w:rStyle w:val="Bodytext52"/>
          <w:rFonts w:ascii="Times New Roman" w:hAnsi="Times New Roman"/>
          <w:color w:val="000000"/>
          <w:sz w:val="20"/>
          <w:lang w:val="es-AR" w:eastAsia="es-ES_tradnl"/>
        </w:rPr>
        <w:t>una postura</w:t>
      </w:r>
      <w:r w:rsidRPr="00AB7B88">
        <w:rPr>
          <w:rStyle w:val="Bodytext52"/>
          <w:rFonts w:ascii="Times New Roman" w:hAnsi="Times New Roman"/>
          <w:color w:val="000000"/>
          <w:sz w:val="20"/>
          <w:vertAlign w:val="superscript"/>
          <w:lang w:eastAsia="es-ES_tradnl"/>
        </w:rPr>
        <w:footnoteReference w:id="341"/>
      </w:r>
    </w:p>
    <w:p w14:paraId="01124E6A"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Estos casos revelan que, más allá de la aceptación de la definición de </w:t>
      </w:r>
      <w:r w:rsidRPr="00AB7B88">
        <w:rPr>
          <w:rStyle w:val="Bodytext13125pt"/>
          <w:rFonts w:ascii="Times New Roman" w:hAnsi="Times New Roman"/>
          <w:b w:val="0"/>
          <w:smallCaps w:val="0"/>
          <w:color w:val="000000"/>
          <w:sz w:val="20"/>
          <w:lang w:val="es-AR" w:eastAsia="es-ES_tradnl"/>
        </w:rPr>
        <w:t>Mavrommatis</w:t>
      </w:r>
      <w:r w:rsidRPr="00AB7B88">
        <w:rPr>
          <w:rStyle w:val="Bodytext52"/>
          <w:rFonts w:ascii="Times New Roman" w:hAnsi="Times New Roman"/>
          <w:color w:val="000000"/>
          <w:sz w:val="20"/>
          <w:lang w:val="es-AR" w:eastAsia="es-ES_tradnl"/>
        </w:rPr>
        <w:t xml:space="preserve"> por parte de estos tribunales en sus decisiones, el momento en el que surge una controversia vendrá determinado por el contexto fáctico en el que surge la misma y el amplio margen de discrecionalidad de un tribunal para decidir si la divergencia entre las partes se ha concretado en una controversia, lo cual a su vez dependerá de los factores que se sean tenidos en cuenta. Tras analizar los casos antes mencionados, los Demandantes resumieron su punto de vista sobre el momento en el que una controversia cristaliza en el derecho internacional. Tiene lugar cuando se cumplen dos elementos: "1) la ocurrencia de una medida que es la materia del desacuerdo, y 2) una </w:t>
      </w:r>
      <w:r w:rsidRPr="00AB7B88">
        <w:rPr>
          <w:rStyle w:val="Bodytext52"/>
          <w:rFonts w:ascii="Times New Roman" w:hAnsi="Times New Roman"/>
          <w:color w:val="000000"/>
          <w:sz w:val="20"/>
          <w:lang w:val="es-AR" w:eastAsia="es-ES_tradnl"/>
        </w:rPr>
        <w:lastRenderedPageBreak/>
        <w:t>expresión de opiniones divergentes con respecto a la medida</w:t>
      </w:r>
      <w:r w:rsidRPr="00AB7B88">
        <w:rPr>
          <w:rStyle w:val="Bodytext52"/>
          <w:rFonts w:ascii="Times New Roman" w:hAnsi="Times New Roman"/>
          <w:color w:val="000000"/>
          <w:sz w:val="20"/>
          <w:vertAlign w:val="superscript"/>
          <w:lang w:eastAsia="es-ES_tradnl"/>
        </w:rPr>
        <w:footnoteReference w:id="342"/>
      </w:r>
      <w:r w:rsidRPr="00AB7B88">
        <w:rPr>
          <w:rStyle w:val="Bodytext52"/>
          <w:rFonts w:ascii="Times New Roman" w:hAnsi="Times New Roman"/>
          <w:color w:val="000000"/>
          <w:sz w:val="20"/>
          <w:lang w:val="es-AR" w:eastAsia="es-ES_tradnl"/>
        </w:rPr>
        <w:t>". La Demandada no se mostró en desacuerdo con estos elementos.</w:t>
      </w:r>
    </w:p>
    <w:p w14:paraId="3656E457" w14:textId="77777777" w:rsidR="003B3957" w:rsidRPr="00AB7B88" w:rsidRDefault="003B3957" w:rsidP="00FE0339">
      <w:pPr>
        <w:pStyle w:val="Bodytext1"/>
        <w:numPr>
          <w:ilvl w:val="0"/>
          <w:numId w:val="41"/>
        </w:numPr>
        <w:shd w:val="clear" w:color="auto" w:fill="auto"/>
        <w:spacing w:before="380" w:line="360" w:lineRule="auto"/>
        <w:ind w:left="522" w:hanging="522"/>
        <w:jc w:val="both"/>
        <w:rPr>
          <w:sz w:val="20"/>
        </w:rPr>
      </w:pPr>
      <w:r w:rsidRPr="00AB7B88">
        <w:rPr>
          <w:rStyle w:val="Bodytext52"/>
          <w:rFonts w:ascii="Times New Roman" w:hAnsi="Times New Roman"/>
          <w:color w:val="000000"/>
          <w:sz w:val="20"/>
          <w:lang w:eastAsia="es-ES_tradnl"/>
        </w:rPr>
        <w:t>Según los Demandantes:</w:t>
      </w:r>
    </w:p>
    <w:p w14:paraId="3E82C169" w14:textId="77777777" w:rsidR="003B3957" w:rsidRPr="00AB7B88" w:rsidRDefault="003B3957" w:rsidP="00755423">
      <w:pPr>
        <w:pStyle w:val="Bodytext1"/>
        <w:shd w:val="clear" w:color="auto" w:fill="auto"/>
        <w:spacing w:before="0" w:line="360" w:lineRule="auto"/>
        <w:ind w:left="522" w:firstLine="0"/>
        <w:jc w:val="both"/>
        <w:rPr>
          <w:sz w:val="20"/>
          <w:lang w:val="es-AR"/>
        </w:rPr>
      </w:pPr>
      <w:r w:rsidRPr="00AB7B88">
        <w:rPr>
          <w:rStyle w:val="Bodytext52"/>
          <w:rFonts w:ascii="Times New Roman" w:hAnsi="Times New Roman"/>
          <w:color w:val="000000"/>
          <w:sz w:val="20"/>
          <w:lang w:val="es-AR" w:eastAsia="es-ES_tradnl"/>
        </w:rPr>
        <w:t>[e]s imposible que Uruguay demuestre que se reunieron todos los requisitos para la 'controversia’, según se la definió precedentemente, antes del 1 de agosto de 2016. Las Demandantes explicaron una y otra vez a lo largo del presente proceso que, vistas las comunicaciones del Gobierno a lo largo de los años tras la sanción de la Ley de Minera Aratirí, incluso en 20I6, las Demandantes (y su padre) siempre creyeron que el Proyecto Valentines se concretaría. No se trataba de una esperanza infundada: se basaba en las declaraciones expresas del Gobierno de que quería trabajar con Minera Aratirí</w:t>
      </w:r>
      <w:r w:rsidRPr="00AB7B88">
        <w:rPr>
          <w:rStyle w:val="Bodytext52"/>
          <w:rFonts w:ascii="Times New Roman" w:hAnsi="Times New Roman"/>
          <w:color w:val="000000"/>
          <w:sz w:val="20"/>
          <w:vertAlign w:val="superscript"/>
          <w:lang w:eastAsia="es-ES_tradnl"/>
        </w:rPr>
        <w:footnoteReference w:id="343"/>
      </w:r>
      <w:r w:rsidRPr="00AB7B88">
        <w:rPr>
          <w:rStyle w:val="Bodytext52"/>
          <w:rFonts w:ascii="Times New Roman" w:hAnsi="Times New Roman"/>
          <w:color w:val="000000"/>
          <w:sz w:val="20"/>
          <w:lang w:val="es-AR" w:eastAsia="es-ES_tradnl"/>
        </w:rPr>
        <w:t>.</w:t>
      </w:r>
    </w:p>
    <w:p w14:paraId="3942BC5A"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Los Demandantes afirman que, al otorgarse la Escritura de Modificación, "el Sr. Agarwal aún consideraba que era bien posible que se resolviera la controversia con Uruguay. En ese momento, la escena todavía no había llegado a un punto irreversible</w:t>
      </w:r>
      <w:r w:rsidRPr="00AB7B88">
        <w:rPr>
          <w:rStyle w:val="Bodytext52"/>
          <w:rFonts w:ascii="Times New Roman" w:hAnsi="Times New Roman"/>
          <w:color w:val="000000"/>
          <w:sz w:val="20"/>
          <w:vertAlign w:val="superscript"/>
          <w:lang w:eastAsia="es-ES_tradnl"/>
        </w:rPr>
        <w:footnoteReference w:id="344"/>
      </w:r>
      <w:r w:rsidRPr="00AB7B88">
        <w:rPr>
          <w:rStyle w:val="Bodytext52"/>
          <w:rFonts w:ascii="Times New Roman" w:hAnsi="Times New Roman"/>
          <w:color w:val="000000"/>
          <w:sz w:val="20"/>
          <w:lang w:val="es-AR" w:eastAsia="es-ES_tradnl"/>
        </w:rPr>
        <w:t>".</w:t>
      </w:r>
    </w:p>
    <w:p w14:paraId="50408F0D"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El Tribunal constata que en la cita anterior los Demandantes mismos consideraban que "la controversia" existía y que sería resuelta con el otorgamiento de la Escritura de Modificación</w:t>
      </w:r>
      <w:r w:rsidRPr="00AB7B88">
        <w:rPr>
          <w:rStyle w:val="Bodytext52"/>
          <w:rFonts w:ascii="Times New Roman" w:hAnsi="Times New Roman"/>
          <w:color w:val="000000"/>
          <w:sz w:val="20"/>
          <w:vertAlign w:val="superscript"/>
          <w:lang w:eastAsia="es-ES_tradnl"/>
        </w:rPr>
        <w:footnoteReference w:id="345"/>
      </w:r>
      <w:r w:rsidRPr="00AB7B88">
        <w:rPr>
          <w:rStyle w:val="Bodytext52"/>
          <w:rFonts w:ascii="Times New Roman" w:hAnsi="Times New Roman"/>
          <w:color w:val="000000"/>
          <w:sz w:val="20"/>
          <w:lang w:val="es-AR" w:eastAsia="es-ES_tradnl"/>
        </w:rPr>
        <w:t>. El Tribunal observa además que, el 3 de octubre de 2016, se remitió a la Demandada la Notificación de Disputa, es decir, solo dos meses después del otorgamiento de la Escritura de Modificación. Durante este breve período no tuvo lugar ningún acontecimiento que pudiese haber transformado la controversia existente o creado una controversia nueva, conforme lo revela la siguiente cronología de acontecimientos pertinentes:</w:t>
      </w:r>
    </w:p>
    <w:p w14:paraId="57BCD511" w14:textId="77777777" w:rsidR="003B3957" w:rsidRPr="00AB7B88" w:rsidRDefault="003B3957" w:rsidP="00736F63">
      <w:pPr>
        <w:pStyle w:val="Bodytext1"/>
        <w:numPr>
          <w:ilvl w:val="0"/>
          <w:numId w:val="53"/>
        </w:numPr>
        <w:shd w:val="clear" w:color="auto" w:fill="auto"/>
        <w:tabs>
          <w:tab w:val="left" w:pos="993"/>
        </w:tabs>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El plazo legal para las negociaciones fijado en la Ley de Minería de Gran Porte venció el 24 de noviembre de 2015 sin que se llegara a un acuerdo definitivo sobre el Contrato de Concesión</w:t>
      </w:r>
      <w:r w:rsidRPr="00AB7B88">
        <w:rPr>
          <w:rStyle w:val="Bodytext52"/>
          <w:rFonts w:ascii="Times New Roman" w:hAnsi="Times New Roman"/>
          <w:color w:val="000000"/>
          <w:sz w:val="20"/>
          <w:vertAlign w:val="superscript"/>
          <w:lang w:eastAsia="es-ES_tradnl"/>
        </w:rPr>
        <w:footnoteReference w:id="346"/>
      </w:r>
      <w:r w:rsidRPr="00AB7B88">
        <w:rPr>
          <w:rStyle w:val="Bodytext52"/>
          <w:rFonts w:ascii="Times New Roman" w:hAnsi="Times New Roman"/>
          <w:color w:val="000000"/>
          <w:sz w:val="20"/>
          <w:lang w:val="es-AR" w:eastAsia="es-ES_tradnl"/>
        </w:rPr>
        <w:t>.</w:t>
      </w:r>
    </w:p>
    <w:p w14:paraId="0246C3DF" w14:textId="77777777" w:rsidR="003B3957" w:rsidRPr="00AB7B88" w:rsidRDefault="003B3957" w:rsidP="00736F63">
      <w:pPr>
        <w:pStyle w:val="Bodytext1"/>
        <w:numPr>
          <w:ilvl w:val="0"/>
          <w:numId w:val="53"/>
        </w:numPr>
        <w:shd w:val="clear" w:color="auto" w:fill="auto"/>
        <w:tabs>
          <w:tab w:val="left" w:pos="993"/>
        </w:tabs>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El 24 de diciembre de 2015 el área que comprendía el Proyecto Valentines se inscribió formalmente en </w:t>
      </w:r>
      <w:r w:rsidRPr="00AB7B88">
        <w:rPr>
          <w:rStyle w:val="Bodytext52"/>
          <w:rFonts w:ascii="Times New Roman" w:hAnsi="Times New Roman"/>
          <w:color w:val="000000"/>
          <w:sz w:val="20"/>
          <w:lang w:val="es-AR" w:eastAsia="es-ES_tradnl"/>
        </w:rPr>
        <w:lastRenderedPageBreak/>
        <w:t>el Registro de Vacancias</w:t>
      </w:r>
      <w:r w:rsidRPr="00AB7B88">
        <w:rPr>
          <w:rStyle w:val="Bodytext52"/>
          <w:rFonts w:ascii="Times New Roman" w:hAnsi="Times New Roman"/>
          <w:color w:val="000000"/>
          <w:sz w:val="20"/>
          <w:vertAlign w:val="superscript"/>
          <w:lang w:eastAsia="es-ES_tradnl"/>
        </w:rPr>
        <w:footnoteReference w:id="347"/>
      </w:r>
      <w:r w:rsidRPr="00AB7B88">
        <w:rPr>
          <w:rStyle w:val="Bodytext52"/>
          <w:rFonts w:ascii="Times New Roman" w:hAnsi="Times New Roman"/>
          <w:color w:val="000000"/>
          <w:sz w:val="20"/>
          <w:lang w:val="es-AR" w:eastAsia="es-ES_tradnl"/>
        </w:rPr>
        <w:t>.</w:t>
      </w:r>
    </w:p>
    <w:p w14:paraId="6FD4FB8E" w14:textId="77777777" w:rsidR="003B3957" w:rsidRPr="00AB7B88" w:rsidRDefault="003B3957" w:rsidP="00736F63">
      <w:pPr>
        <w:pStyle w:val="Bodytext1"/>
        <w:numPr>
          <w:ilvl w:val="0"/>
          <w:numId w:val="53"/>
        </w:numPr>
        <w:shd w:val="clear" w:color="auto" w:fill="auto"/>
        <w:tabs>
          <w:tab w:val="left" w:pos="993"/>
        </w:tabs>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Conforme se establece en el Código de Minería, las minas, áreas mineras o descubrimientos inscritos en el Registro de Vacancias "pueden ser objeto de solicitud directa por cualquier interesado, de permisos y concesiones para los yacimientos de la Clase III", y "pueden ser objeto de requerimiento por el Poder Ejecutivo, como autoridad minera, a fin de someterlos al régimen de [yacimientos] de la Clase II</w:t>
      </w:r>
      <w:r w:rsidRPr="00AB7B88">
        <w:rPr>
          <w:rStyle w:val="Bodytext52"/>
          <w:rFonts w:ascii="Times New Roman" w:hAnsi="Times New Roman"/>
          <w:color w:val="000000"/>
          <w:sz w:val="20"/>
          <w:vertAlign w:val="superscript"/>
          <w:lang w:eastAsia="es-ES_tradnl"/>
        </w:rPr>
        <w:footnoteReference w:id="348"/>
      </w:r>
      <w:r w:rsidRPr="00AB7B88">
        <w:rPr>
          <w:rStyle w:val="Bodytext52"/>
          <w:rFonts w:ascii="Times New Roman" w:hAnsi="Times New Roman"/>
          <w:color w:val="000000"/>
          <w:sz w:val="20"/>
          <w:lang w:val="es-AR" w:eastAsia="es-ES_tradnl"/>
        </w:rPr>
        <w:t>". Sin embargo, la Ley de Minería de Gran Porte fijaba un plazo de noventa días durante el cual Minera Aratirí tendría prioridad para presentar a un posible interesado para reanudar las negociaciones del Contrato de Concesión</w:t>
      </w:r>
      <w:r w:rsidRPr="00AB7B88">
        <w:rPr>
          <w:rStyle w:val="Bodytext52"/>
          <w:rFonts w:ascii="Times New Roman" w:hAnsi="Times New Roman"/>
          <w:color w:val="000000"/>
          <w:sz w:val="20"/>
          <w:vertAlign w:val="superscript"/>
          <w:lang w:eastAsia="es-ES_tradnl"/>
        </w:rPr>
        <w:footnoteReference w:id="349"/>
      </w:r>
      <w:r w:rsidRPr="00AB7B88">
        <w:rPr>
          <w:rStyle w:val="Bodytext52"/>
          <w:rFonts w:ascii="Times New Roman" w:hAnsi="Times New Roman"/>
          <w:color w:val="000000"/>
          <w:sz w:val="20"/>
          <w:lang w:val="es-AR" w:eastAsia="es-ES_tradnl"/>
        </w:rPr>
        <w:t>.</w:t>
      </w:r>
    </w:p>
    <w:p w14:paraId="58C3639C" w14:textId="77777777" w:rsidR="003B3957" w:rsidRPr="00AB7B88" w:rsidRDefault="003B3957" w:rsidP="00736F63">
      <w:pPr>
        <w:pStyle w:val="Bodytext1"/>
        <w:numPr>
          <w:ilvl w:val="0"/>
          <w:numId w:val="53"/>
        </w:numPr>
        <w:shd w:val="clear" w:color="auto" w:fill="auto"/>
        <w:tabs>
          <w:tab w:val="left" w:pos="993"/>
        </w:tabs>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Minera Aratirí interpuso un recurso de revocación contra la Declaración de Caducidad, que fue desestimado mediante resolución del presidente Vázquez del 28 de junio de 2016</w:t>
      </w:r>
      <w:r w:rsidRPr="00AB7B88">
        <w:rPr>
          <w:rStyle w:val="Bodytext52"/>
          <w:rFonts w:ascii="Times New Roman" w:hAnsi="Times New Roman"/>
          <w:color w:val="000000"/>
          <w:sz w:val="20"/>
          <w:vertAlign w:val="superscript"/>
          <w:lang w:eastAsia="es-ES_tradnl"/>
        </w:rPr>
        <w:footnoteReference w:id="350"/>
      </w:r>
      <w:r w:rsidRPr="00AB7B88">
        <w:rPr>
          <w:rStyle w:val="Bodytext52"/>
          <w:rFonts w:ascii="Times New Roman" w:hAnsi="Times New Roman"/>
          <w:color w:val="000000"/>
          <w:sz w:val="20"/>
          <w:lang w:val="es-AR" w:eastAsia="es-ES_tradnl"/>
        </w:rPr>
        <w:t>. La resolución rechazaba el argumento de la empresa según el cual los derechos de los títulos mineros Permiso de Prospección y Permiso de Exploración estaban protegidos y no podían caducar en esa forma, sosteniendo que dicha caducidad fue precisamente lo que permitió, en primer lugar, la inclusión de las áreas pertinentes en el Registro de Vacancias y, en consecuencia, la posibilidad de presentar a un nuevo interesado</w:t>
      </w:r>
      <w:r w:rsidRPr="00AB7B88">
        <w:rPr>
          <w:rStyle w:val="Bodytext52"/>
          <w:rFonts w:ascii="Times New Roman" w:hAnsi="Times New Roman"/>
          <w:color w:val="000000"/>
          <w:sz w:val="20"/>
          <w:vertAlign w:val="superscript"/>
          <w:lang w:eastAsia="es-ES_tradnl"/>
        </w:rPr>
        <w:footnoteReference w:id="351"/>
      </w:r>
      <w:r w:rsidRPr="00AB7B88">
        <w:rPr>
          <w:rStyle w:val="Bodytext52"/>
          <w:rFonts w:ascii="Times New Roman" w:hAnsi="Times New Roman"/>
          <w:color w:val="000000"/>
          <w:sz w:val="20"/>
          <w:lang w:val="es-AR" w:eastAsia="es-ES_tradnl"/>
        </w:rPr>
        <w:t>.</w:t>
      </w:r>
    </w:p>
    <w:p w14:paraId="5AD12D2A" w14:textId="77777777" w:rsidR="003B3957" w:rsidRPr="00AB7B88" w:rsidRDefault="003B3957" w:rsidP="00736F63">
      <w:pPr>
        <w:pStyle w:val="Bodytext1"/>
        <w:numPr>
          <w:ilvl w:val="0"/>
          <w:numId w:val="53"/>
        </w:numPr>
        <w:shd w:val="clear" w:color="auto" w:fill="auto"/>
        <w:tabs>
          <w:tab w:val="left" w:pos="993"/>
        </w:tabs>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Las interpretaciones de las Partes de la Declaración de Caducidad difieren marcadamente. Los Demandantes sostienen que esta resolución "dejó a Minera Aratirí sin ningún tipo de derecho minero sobre el Proyecto Valentines", es decir que Uruguay tendría "todo el control" sobre quién desarrollaría el Proyecto</w:t>
      </w:r>
      <w:r w:rsidRPr="00AB7B88">
        <w:rPr>
          <w:rStyle w:val="Bodytext52"/>
          <w:rFonts w:ascii="Times New Roman" w:hAnsi="Times New Roman"/>
          <w:color w:val="000000"/>
          <w:sz w:val="20"/>
          <w:vertAlign w:val="superscript"/>
          <w:lang w:eastAsia="es-ES_tradnl"/>
        </w:rPr>
        <w:footnoteReference w:id="352"/>
      </w:r>
      <w:r w:rsidRPr="00AB7B88">
        <w:rPr>
          <w:rStyle w:val="Bodytext52"/>
          <w:rFonts w:ascii="Times New Roman" w:hAnsi="Times New Roman"/>
          <w:color w:val="000000"/>
          <w:sz w:val="20"/>
          <w:lang w:val="es-AR" w:eastAsia="es-ES_tradnl"/>
        </w:rPr>
        <w:t>. La Demandada opina que la Declaración de Caducidad "simplemente aplicó el artículo 38 de la Ley de [Minería de Gran Porte]", permitiendo asi a la empresa ejercer su derecho de preferencia para presentar a un interesado</w:t>
      </w:r>
      <w:r w:rsidRPr="00AB7B88">
        <w:rPr>
          <w:rStyle w:val="Bodytext52"/>
          <w:rFonts w:ascii="Times New Roman" w:hAnsi="Times New Roman"/>
          <w:color w:val="000000"/>
          <w:sz w:val="20"/>
          <w:vertAlign w:val="superscript"/>
          <w:lang w:eastAsia="es-ES_tradnl"/>
        </w:rPr>
        <w:footnoteReference w:id="353"/>
      </w:r>
      <w:r w:rsidRPr="00AB7B88">
        <w:rPr>
          <w:rStyle w:val="Bodytext52"/>
          <w:rFonts w:ascii="Times New Roman" w:hAnsi="Times New Roman"/>
          <w:color w:val="000000"/>
          <w:sz w:val="20"/>
          <w:lang w:val="es-AR" w:eastAsia="es-ES_tradnl"/>
        </w:rPr>
        <w:t>.</w:t>
      </w:r>
    </w:p>
    <w:p w14:paraId="25BE87C4" w14:textId="77777777" w:rsidR="003B3957" w:rsidRPr="00AB7B88" w:rsidRDefault="003B3957" w:rsidP="00736F63">
      <w:pPr>
        <w:pStyle w:val="Bodytext1"/>
        <w:numPr>
          <w:ilvl w:val="0"/>
          <w:numId w:val="53"/>
        </w:numPr>
        <w:shd w:val="clear" w:color="auto" w:fill="auto"/>
        <w:tabs>
          <w:tab w:val="left" w:pos="993"/>
        </w:tabs>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El 15 de marzo, de 2016, Minera Aratirí designó a Invertexi como nuevo interesado. La Ley de Minería </w:t>
      </w:r>
      <w:r w:rsidRPr="00AB7B88">
        <w:rPr>
          <w:rStyle w:val="Bodytext52"/>
          <w:rFonts w:ascii="Times New Roman" w:hAnsi="Times New Roman"/>
          <w:color w:val="000000"/>
          <w:sz w:val="20"/>
          <w:lang w:val="es-AR" w:eastAsia="es-ES_tradnl"/>
        </w:rPr>
        <w:lastRenderedPageBreak/>
        <w:t>de Gran Porte establece un plazo de 120 días no prorrogables para que el gobierno y el nuevo interesado alcancen un acuerdo. Para el 13 de julio de 2016 (el final del plazo de 120 días) no se había alcanzado ningún acuerdo.</w:t>
      </w:r>
    </w:p>
    <w:p w14:paraId="196B2613" w14:textId="77777777" w:rsidR="003B3957" w:rsidRPr="00AB7B88" w:rsidRDefault="003B3957" w:rsidP="00F03725">
      <w:pPr>
        <w:pStyle w:val="Bodytext1"/>
        <w:numPr>
          <w:ilvl w:val="0"/>
          <w:numId w:val="53"/>
        </w:numPr>
        <w:shd w:val="clear" w:color="auto" w:fill="auto"/>
        <w:tabs>
          <w:tab w:val="left" w:pos="993"/>
        </w:tabs>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Con respecto al rechazo de Invertexi. los Demandantes exponen que el Gobierno "dejo pasar el tiempo" al aplicar incorrectamente el artículo 24 c) con el fin de introducir "exigencias hipertécnicas" y "encar[ar] maniobras de distintos tipos para bloquear los esfuerzos de Minera Aratirí por designar a una entidad sucesora</w:t>
      </w:r>
      <w:r w:rsidRPr="00AB7B88">
        <w:rPr>
          <w:rStyle w:val="Bodytext52"/>
          <w:rFonts w:ascii="Times New Roman" w:hAnsi="Times New Roman"/>
          <w:color w:val="000000"/>
          <w:sz w:val="20"/>
          <w:vertAlign w:val="superscript"/>
          <w:lang w:eastAsia="es-ES_tradnl"/>
        </w:rPr>
        <w:footnoteReference w:id="354"/>
      </w:r>
      <w:r w:rsidRPr="00AB7B88">
        <w:rPr>
          <w:rStyle w:val="Bodytext52"/>
          <w:rFonts w:ascii="Times New Roman" w:hAnsi="Times New Roman"/>
          <w:color w:val="000000"/>
          <w:sz w:val="20"/>
          <w:lang w:val="es-AR" w:eastAsia="es-ES_tradnl"/>
        </w:rPr>
        <w:t>". La Demandada describe la posibilidad de presentar un nuevo interesado como "Unica" y "[u]na de las grandes ventajas" que ofrece la Ley de Minería de Gran Porte, y sostiene que los defectos en la presentación de Invertexi llevaron a la conclusión de que "no era una empresa minera seria" y "era aún menos apta para la realización del Proyecto que la propia [Minera] Aratirí</w:t>
      </w:r>
      <w:r w:rsidRPr="00AB7B88">
        <w:rPr>
          <w:rStyle w:val="Bodytext52"/>
          <w:rFonts w:ascii="Times New Roman" w:hAnsi="Times New Roman"/>
          <w:color w:val="000000"/>
          <w:sz w:val="20"/>
          <w:vertAlign w:val="superscript"/>
          <w:lang w:eastAsia="es-ES_tradnl"/>
        </w:rPr>
        <w:footnoteReference w:id="355"/>
      </w:r>
      <w:r w:rsidRPr="00AB7B88">
        <w:rPr>
          <w:rStyle w:val="Bodytext52"/>
          <w:rFonts w:ascii="Times New Roman" w:hAnsi="Times New Roman"/>
          <w:color w:val="000000"/>
          <w:sz w:val="20"/>
          <w:lang w:val="es-AR" w:eastAsia="es-ES_tradnl"/>
        </w:rPr>
        <w:t>".</w:t>
      </w:r>
    </w:p>
    <w:p w14:paraId="3EA05F66" w14:textId="77777777" w:rsidR="003B3957" w:rsidRPr="00AB7B88" w:rsidRDefault="003B3957" w:rsidP="00F03725">
      <w:pPr>
        <w:pStyle w:val="Bodytext1"/>
        <w:numPr>
          <w:ilvl w:val="0"/>
          <w:numId w:val="53"/>
        </w:numPr>
        <w:shd w:val="clear" w:color="auto" w:fill="auto"/>
        <w:tabs>
          <w:tab w:val="left" w:pos="993"/>
        </w:tabs>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El 16 de agosto de 2016, la Demandada concedió una audiencia a Minera Aratirí y a Invertexi. Según consta en el acta de la reunión de la Demandada, estas empresas rechazaron la totalidad del infonne del MIEM. Las Partes difieren en si Minera Aratirí e Invertexi cumplieron con todas las etapas del proceso de designación</w:t>
      </w:r>
      <w:r w:rsidRPr="00AB7B88">
        <w:rPr>
          <w:rStyle w:val="Bodytext52"/>
          <w:rFonts w:ascii="Times New Roman" w:hAnsi="Times New Roman"/>
          <w:color w:val="000000"/>
          <w:sz w:val="20"/>
          <w:vertAlign w:val="superscript"/>
          <w:lang w:eastAsia="es-ES_tradnl"/>
        </w:rPr>
        <w:footnoteReference w:id="356"/>
      </w:r>
      <w:r w:rsidRPr="00AB7B88">
        <w:rPr>
          <w:rStyle w:val="Bodytext52"/>
          <w:rFonts w:ascii="Times New Roman" w:hAnsi="Times New Roman"/>
          <w:color w:val="000000"/>
          <w:sz w:val="20"/>
          <w:lang w:val="es-AR" w:eastAsia="es-ES_tradnl"/>
        </w:rPr>
        <w:t>. Minera Aratirí e Invertexi arguyeron que Invertexi reunía los requisitos para ser un nuevo interesado, y cuestionaron que el plazo para celebrar el contrato había caducado, dado que el contrato podría haberse celebrado desde noviembre de 2015; e igualmente cuestionaron que Minera Aratirí e Invertexi hubieran validado, con su accionar, la conducta de la Demandada</w:t>
      </w:r>
      <w:r w:rsidRPr="00AB7B88">
        <w:rPr>
          <w:rStyle w:val="Bodytext52"/>
          <w:rFonts w:ascii="Times New Roman" w:hAnsi="Times New Roman"/>
          <w:color w:val="000000"/>
          <w:sz w:val="20"/>
          <w:vertAlign w:val="superscript"/>
          <w:lang w:eastAsia="es-ES_tradnl"/>
        </w:rPr>
        <w:footnoteReference w:id="357"/>
      </w:r>
      <w:r w:rsidRPr="00AB7B88">
        <w:rPr>
          <w:rStyle w:val="Bodytext52"/>
          <w:rFonts w:ascii="Times New Roman" w:hAnsi="Times New Roman"/>
          <w:color w:val="000000"/>
          <w:sz w:val="20"/>
          <w:lang w:val="es-AR" w:eastAsia="es-ES_tradnl"/>
        </w:rPr>
        <w:t>.</w:t>
      </w:r>
    </w:p>
    <w:p w14:paraId="2978A43F"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La presente cronología muestra que, entre el 1 de agosto de 2016 y el 3 de octubre 2016, no hubo ningún acontecimiento que pudiera haber materializado una diferencia existente de opiniones en una controversia. Sobre la base de sucesión de hechos, el Tribunal concluye que la controversia surgió antes del 1 de agosto de 2016, entre el 24 de noviembre de 2015 y el 13 de julio de 2016.</w:t>
      </w:r>
    </w:p>
    <w:p w14:paraId="1441D6B6"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A la luz de esta conclusión, a continuación, el Tribunal considerará si el TBI comprende controversias surgidas antes del otorgamiento de la Escritura de Modificación.</w:t>
      </w:r>
    </w:p>
    <w:p w14:paraId="3CD6C515" w14:textId="77777777" w:rsidR="003B3957" w:rsidRPr="00AB7B88" w:rsidRDefault="003B3957" w:rsidP="00DF7FB9">
      <w:pPr>
        <w:pStyle w:val="Heading20"/>
        <w:keepNext/>
        <w:keepLines/>
        <w:numPr>
          <w:ilvl w:val="0"/>
          <w:numId w:val="52"/>
        </w:numPr>
        <w:shd w:val="clear" w:color="auto" w:fill="auto"/>
        <w:tabs>
          <w:tab w:val="left" w:pos="340"/>
        </w:tabs>
        <w:spacing w:before="380" w:after="0" w:line="360" w:lineRule="auto"/>
        <w:ind w:firstLine="0"/>
        <w:jc w:val="left"/>
        <w:rPr>
          <w:rFonts w:ascii="Times New Roman" w:hAnsi="Times New Roman"/>
          <w:b w:val="0"/>
          <w:sz w:val="20"/>
          <w:lang w:val="es-AR"/>
        </w:rPr>
      </w:pPr>
      <w:bookmarkStart w:id="99" w:name="bookmark100"/>
      <w:bookmarkStart w:id="100" w:name="bookmark101"/>
      <w:r w:rsidRPr="00AB7B88">
        <w:rPr>
          <w:rStyle w:val="Heading2"/>
          <w:rFonts w:ascii="Times New Roman" w:hAnsi="Times New Roman"/>
          <w:b/>
          <w:color w:val="000000"/>
          <w:sz w:val="20"/>
          <w:lang w:val="es-AR" w:eastAsia="es-ES_tradnl"/>
        </w:rPr>
        <w:lastRenderedPageBreak/>
        <w:t>¿Comprende el TBI controversias surgidas antes del otorgamiento de la Escritura de Modificación?</w:t>
      </w:r>
      <w:bookmarkEnd w:id="99"/>
      <w:bookmarkEnd w:id="100"/>
    </w:p>
    <w:p w14:paraId="16537C9D"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w:t>
      </w:r>
      <w:r w:rsidRPr="00AB7B88">
        <w:rPr>
          <w:rStyle w:val="Bodytext31"/>
          <w:rFonts w:ascii="Times New Roman" w:hAnsi="Times New Roman"/>
          <w:color w:val="000000"/>
          <w:sz w:val="20"/>
          <w:lang w:val="es-AR" w:eastAsia="es-ES_tradnl"/>
        </w:rPr>
        <w:t>artículo 8 del TBI</w:t>
      </w:r>
      <w:r w:rsidRPr="00AB7B88">
        <w:rPr>
          <w:rStyle w:val="Bodytext26"/>
          <w:rFonts w:ascii="Times New Roman" w:hAnsi="Times New Roman"/>
          <w:color w:val="000000"/>
          <w:sz w:val="20"/>
          <w:lang w:val="es-AR" w:eastAsia="es-ES_tradnl"/>
        </w:rPr>
        <w:t xml:space="preserve"> </w:t>
      </w:r>
      <w:r w:rsidRPr="00AB7B88">
        <w:rPr>
          <w:rStyle w:val="Bodytext52"/>
          <w:rFonts w:ascii="Times New Roman" w:hAnsi="Times New Roman"/>
          <w:color w:val="000000"/>
          <w:sz w:val="20"/>
          <w:lang w:val="es-AR" w:eastAsia="es-ES_tradnl"/>
        </w:rPr>
        <w:t>comprende "controversias que surgieren entre un nacional o una sociedad de una Parte Contratante y la otra Parte Contratante [...]". En su sentido corriente, el término "surgir" significa "aparecer o manifestarse", "brotar"</w:t>
      </w:r>
      <w:r w:rsidRPr="00AB7B88">
        <w:rPr>
          <w:rStyle w:val="Bodytext52"/>
          <w:rFonts w:ascii="Times New Roman" w:hAnsi="Times New Roman"/>
          <w:color w:val="000000"/>
          <w:sz w:val="20"/>
          <w:vertAlign w:val="superscript"/>
          <w:lang w:eastAsia="es-ES_tradnl"/>
        </w:rPr>
        <w:footnoteReference w:id="358"/>
      </w:r>
      <w:r w:rsidRPr="00AB7B88">
        <w:rPr>
          <w:rStyle w:val="Bodytext52"/>
          <w:rFonts w:ascii="Times New Roman" w:hAnsi="Times New Roman"/>
          <w:color w:val="000000"/>
          <w:sz w:val="20"/>
          <w:lang w:val="es-AR" w:eastAsia="es-ES_tradnl"/>
        </w:rPr>
        <w:t>. En el contexto de la oración, se refiere a controversias que surgen, que no existen aún. Para que la cláusula se aplique a controversias preexistentes, el Tribunal debería agregar "o que han surgido</w:t>
      </w:r>
      <w:r w:rsidRPr="00AB7B88">
        <w:rPr>
          <w:rStyle w:val="Bodytext52"/>
          <w:rFonts w:ascii="Times New Roman" w:hAnsi="Times New Roman"/>
          <w:color w:val="000000"/>
          <w:sz w:val="20"/>
          <w:vertAlign w:val="superscript"/>
          <w:lang w:eastAsia="es-ES_tradnl"/>
        </w:rPr>
        <w:footnoteReference w:id="359"/>
      </w:r>
      <w:r w:rsidRPr="00AB7B88">
        <w:rPr>
          <w:rStyle w:val="Bodytext52"/>
          <w:rFonts w:ascii="Times New Roman" w:hAnsi="Times New Roman"/>
          <w:color w:val="000000"/>
          <w:sz w:val="20"/>
          <w:lang w:val="es-AR" w:eastAsia="es-ES_tradnl"/>
        </w:rPr>
        <w:t>", lo cual es impermisible.</w:t>
      </w:r>
    </w:p>
    <w:p w14:paraId="1BE05F8A" w14:textId="77777777" w:rsidR="003B3957" w:rsidRPr="00AB7B88" w:rsidRDefault="003B3957" w:rsidP="002C3AC3">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Esta interpretación no es controvertida y es confirmada por otros tribunales en la interpretación de cláusulas similares, las cuales no excluyen explícitamente controversias existentes. Por ejemplo, el tribunal en el caso </w:t>
      </w:r>
      <w:r w:rsidRPr="00AB7B88">
        <w:rPr>
          <w:rStyle w:val="Bodytext13125pt"/>
          <w:rFonts w:ascii="Times New Roman" w:hAnsi="Times New Roman"/>
          <w:b w:val="0"/>
          <w:smallCaps w:val="0"/>
          <w:color w:val="000000"/>
          <w:sz w:val="20"/>
          <w:lang w:val="es-AR" w:eastAsia="es-ES_tradnl"/>
        </w:rPr>
        <w:t>MCI</w:t>
      </w:r>
      <w:r w:rsidRPr="00AB7B88">
        <w:rPr>
          <w:rStyle w:val="Bodytext52"/>
          <w:rFonts w:ascii="Times New Roman" w:hAnsi="Times New Roman"/>
          <w:color w:val="000000"/>
          <w:sz w:val="20"/>
          <w:lang w:val="es-AR" w:eastAsia="es-ES_tradnl"/>
        </w:rPr>
        <w:t xml:space="preserve"> estableció, sobre la base del principio de no retroactividad, que "[t]oda controversia surgida con anterioridad a esa fecha [de entrada en vigor] no es susceptible de ser sometida al sistema de solución de controversias establecido en el TBI. El silencio en el texto del TBI respecto a sus alcances en cuanto a las controversias anteriores a su entrada en vigor no altera los efectos del principio de la irretroactividad de los tratados</w:t>
      </w:r>
      <w:r w:rsidRPr="00AB7B88">
        <w:rPr>
          <w:rStyle w:val="Bodytext52"/>
          <w:rFonts w:ascii="Times New Roman" w:hAnsi="Times New Roman"/>
          <w:color w:val="000000"/>
          <w:sz w:val="20"/>
          <w:vertAlign w:val="superscript"/>
          <w:lang w:eastAsia="es-ES_tradnl"/>
        </w:rPr>
        <w:footnoteReference w:id="360"/>
      </w:r>
      <w:r w:rsidRPr="00AB7B88">
        <w:rPr>
          <w:rStyle w:val="Bodytext52"/>
          <w:rFonts w:ascii="Times New Roman" w:hAnsi="Times New Roman"/>
          <w:color w:val="000000"/>
          <w:sz w:val="20"/>
          <w:lang w:val="es-AR" w:eastAsia="es-ES_tradnl"/>
        </w:rPr>
        <w:t>". De igual manera, el tribunal en</w:t>
      </w:r>
      <w:r w:rsidR="002C3AC3" w:rsidRPr="00AB7B88">
        <w:rPr>
          <w:sz w:val="20"/>
          <w:lang w:val="es-AR"/>
        </w:rPr>
        <w:t xml:space="preserve"> </w:t>
      </w:r>
      <w:r w:rsidRPr="00AB7B88">
        <w:rPr>
          <w:rStyle w:val="Bodytext13125pt"/>
          <w:rFonts w:ascii="Times New Roman" w:hAnsi="Times New Roman"/>
          <w:b w:val="0"/>
          <w:smallCaps w:val="0"/>
          <w:color w:val="000000"/>
          <w:sz w:val="20"/>
          <w:lang w:val="es-AR" w:eastAsia="es-ES_tradnl"/>
        </w:rPr>
        <w:t>Impregilo</w:t>
      </w:r>
      <w:r w:rsidRPr="00AB7B88">
        <w:rPr>
          <w:rStyle w:val="Bodytext52"/>
          <w:rFonts w:ascii="Times New Roman" w:hAnsi="Times New Roman"/>
          <w:color w:val="000000"/>
          <w:sz w:val="20"/>
          <w:lang w:val="es-AR" w:eastAsia="es-ES_tradnl"/>
        </w:rPr>
        <w:t xml:space="preserve"> interpretó el término "que surgen" respecto de controversias a las cuales se aplicarían las disposiciones de resolución de controversias del tratado entre Argentina e Italia: "[d]icho texto - y la ausencia de una disposición específica para la retroactividad- infiere que las controversias que han surgido antes de la entrada en vigor del TBI no están incluidas</w:t>
      </w:r>
      <w:r w:rsidRPr="00AB7B88">
        <w:rPr>
          <w:rStyle w:val="Bodytext52"/>
          <w:rFonts w:ascii="Times New Roman" w:hAnsi="Times New Roman"/>
          <w:color w:val="000000"/>
          <w:sz w:val="20"/>
          <w:vertAlign w:val="superscript"/>
          <w:lang w:eastAsia="es-ES_tradnl"/>
        </w:rPr>
        <w:footnoteReference w:id="361"/>
      </w:r>
      <w:r w:rsidRPr="00AB7B88">
        <w:rPr>
          <w:rStyle w:val="Bodytext52"/>
          <w:rFonts w:ascii="Times New Roman" w:hAnsi="Times New Roman"/>
          <w:color w:val="000000"/>
          <w:sz w:val="20"/>
          <w:lang w:val="es-AR" w:eastAsia="es-ES_tradnl"/>
        </w:rPr>
        <w:t>".</w:t>
      </w:r>
    </w:p>
    <w:p w14:paraId="09BDF612" w14:textId="77777777" w:rsidR="003B3957" w:rsidRPr="00AB7B88" w:rsidRDefault="003B3957" w:rsidP="009D2BA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El Tribunal coincide con la aclaración de la Demandada en el sentido de que, si bien los casos en estos ejemplos atañen a pretensiones derivadas de controversias que surgieron antes de que los tratados aplicables entrasen en vigor, la situación en el presente caso es similar. El TBI no entró en vigor con respecto a los Demandantes hasta que estos adquirieron una inversión en</w:t>
      </w:r>
      <w:r w:rsidR="00B852EF">
        <w:rPr>
          <w:rStyle w:val="Bodytext52"/>
          <w:rFonts w:ascii="Times New Roman" w:hAnsi="Times New Roman"/>
          <w:color w:val="000000"/>
          <w:sz w:val="20"/>
          <w:lang w:val="es-AR" w:eastAsia="es-ES_tradnl"/>
        </w:rPr>
        <w:t xml:space="preserve"> Uruguay el 1 de agosto de 201</w:t>
      </w:r>
      <w:r w:rsidRPr="00AB7B88">
        <w:rPr>
          <w:rStyle w:val="Bodytext52"/>
          <w:rFonts w:ascii="Times New Roman" w:hAnsi="Times New Roman"/>
          <w:color w:val="000000"/>
          <w:sz w:val="20"/>
          <w:lang w:val="es-AR" w:eastAsia="es-ES_tradnl"/>
        </w:rPr>
        <w:t>6</w:t>
      </w:r>
      <w:r w:rsidRPr="00AB7B88">
        <w:rPr>
          <w:rStyle w:val="Bodytext52"/>
          <w:rFonts w:ascii="Times New Roman" w:hAnsi="Times New Roman"/>
          <w:color w:val="000000"/>
          <w:sz w:val="20"/>
          <w:vertAlign w:val="superscript"/>
          <w:lang w:eastAsia="es-ES_tradnl"/>
        </w:rPr>
        <w:footnoteReference w:id="362"/>
      </w:r>
      <w:r w:rsidRPr="00AB7B88">
        <w:rPr>
          <w:rStyle w:val="Bodytext52"/>
          <w:rFonts w:ascii="Times New Roman" w:hAnsi="Times New Roman"/>
          <w:color w:val="000000"/>
          <w:sz w:val="20"/>
          <w:lang w:val="es-AR" w:eastAsia="es-ES_tradnl"/>
        </w:rPr>
        <w:t>.</w:t>
      </w:r>
    </w:p>
    <w:p w14:paraId="5795C836" w14:textId="77777777" w:rsidR="003B3957" w:rsidRPr="00AB7B88" w:rsidRDefault="003B3957" w:rsidP="00681B5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Tribunal ha establecido que la controversia surgió con anterioridad a la fecha de la Escritura de Modificación, y esta determinación tiene el efecto de excluir la controversia del alcance del TBI porque el surgimiento de la controversia precede a la fecha en la que las obligaciones de la Demandada con arreglo al TBI se aplicarían a los Demandantes y es una controversia preexistente para los fines del artículo 8 del TBI. </w:t>
      </w:r>
      <w:r w:rsidRPr="00AB7B88">
        <w:rPr>
          <w:rStyle w:val="Bodytext52"/>
          <w:rFonts w:ascii="Times New Roman" w:hAnsi="Times New Roman"/>
          <w:color w:val="000000"/>
          <w:sz w:val="20"/>
          <w:lang w:val="es-AR" w:eastAsia="es-ES_tradnl"/>
        </w:rPr>
        <w:lastRenderedPageBreak/>
        <w:t xml:space="preserve">Esta conclusión sería suficiente para aceptar la objeción </w:t>
      </w:r>
      <w:r w:rsidRPr="00AB7B88">
        <w:rPr>
          <w:rStyle w:val="Bodytext13125pt"/>
          <w:rFonts w:ascii="Times New Roman" w:hAnsi="Times New Roman"/>
          <w:b w:val="0"/>
          <w:smallCaps w:val="0"/>
          <w:color w:val="000000"/>
          <w:sz w:val="20"/>
          <w:lang w:val="es-AR" w:eastAsia="es-ES_tradnl"/>
        </w:rPr>
        <w:t>ratione temporis</w:t>
      </w:r>
      <w:r w:rsidRPr="00AB7B88">
        <w:rPr>
          <w:rStyle w:val="Bodytext52"/>
          <w:rFonts w:ascii="Times New Roman" w:hAnsi="Times New Roman"/>
          <w:color w:val="000000"/>
          <w:sz w:val="20"/>
          <w:lang w:val="es-AR" w:eastAsia="es-ES_tradnl"/>
        </w:rPr>
        <w:t xml:space="preserve"> de la Demandada, pero a la luz de la importancia dada a la doctrina del hecho continuo en los alegatos de la Partes, el Tribunal la abordará también, así como abordará ciertos argumentos nuevos formulados durante el cierre de la Audiencia.</w:t>
      </w:r>
    </w:p>
    <w:p w14:paraId="282E97E2" w14:textId="77777777" w:rsidR="003B3957" w:rsidRPr="00AB7B88" w:rsidRDefault="003B3957" w:rsidP="0088235F">
      <w:pPr>
        <w:pStyle w:val="Heading20"/>
        <w:keepNext/>
        <w:keepLines/>
        <w:numPr>
          <w:ilvl w:val="0"/>
          <w:numId w:val="52"/>
        </w:numPr>
        <w:shd w:val="clear" w:color="auto" w:fill="auto"/>
        <w:tabs>
          <w:tab w:val="left" w:pos="340"/>
        </w:tabs>
        <w:spacing w:before="380" w:after="0" w:line="360" w:lineRule="auto"/>
        <w:ind w:firstLine="0"/>
        <w:rPr>
          <w:rFonts w:ascii="Times New Roman" w:hAnsi="Times New Roman"/>
          <w:sz w:val="20"/>
          <w:lang w:val="es-AR"/>
        </w:rPr>
      </w:pPr>
      <w:bookmarkStart w:id="101" w:name="bookmark102"/>
      <w:bookmarkStart w:id="102" w:name="bookmark103"/>
      <w:r w:rsidRPr="00AB7B88">
        <w:rPr>
          <w:rStyle w:val="Heading2"/>
          <w:rFonts w:ascii="Times New Roman" w:hAnsi="Times New Roman"/>
          <w:color w:val="000000"/>
          <w:sz w:val="20"/>
          <w:lang w:val="es-AR" w:eastAsia="es-ES_tradnl"/>
        </w:rPr>
        <w:t>Incumplimiento del TBI debido a la doctrina del hecho continuo</w:t>
      </w:r>
      <w:bookmarkEnd w:id="101"/>
      <w:bookmarkEnd w:id="102"/>
    </w:p>
    <w:p w14:paraId="1E8591E5" w14:textId="77777777" w:rsidR="003B3957" w:rsidRPr="00AB7B88" w:rsidRDefault="003B3957" w:rsidP="00681B5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En el marco de sus argumentos sobre la doctrina del hecho continuo, ambas Partes se remitieron al texto del artículo 14.2 de los Artículos sobre la responsabilidad del Estado y el Comentario adjunto de la Comisión de Derecho Internacional (la "CDI"), ambos reproducidos aquí para fines de conveniencia. El artículo 14.2 dispone: "[l]a violación de una obligación internacional mediante un hecho del Estado que tiene carácter continuo se extiende durante todo el período en el cual el hecho continúa y se mantiene su falta de conformidad con la obligación internacional". En el Comentario se explica: "el comportamiento que haya comenzado en determinado momento en el pasado, y haya constituido (o, si la norma primaria pertinente hubiera estado vigente para el Estado en ese momento, hubiese constituido) una infracción en ese momento, puede continuar y dar lugar a un hecho ilícito continuado en el presente [...]"</w:t>
      </w:r>
    </w:p>
    <w:p w14:paraId="053ABB09" w14:textId="77777777" w:rsidR="003B3957" w:rsidRPr="00AB7B88" w:rsidRDefault="003B3957" w:rsidP="00681B5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Las Partes difieren en cuanto al significado del artículo 14.2 y el Comentario. A juicio de los Demandantes, "[a]plicada a este caso, la teoría del acto continuo le permite al Tribunal considerar la parte íntegra de esta controversia referida a la Ley Minera Aratirí, desde el anuncio de su proyecto de ley el 28 de septiembre de 2012. La Ley Minera Aratirí —que en gran parte se mantuvo sin modificaciones respecto de aquel proyecto— entró en vigencia el 5 de octubre de 2013 y aún hoy continúa en vigor</w:t>
      </w:r>
      <w:r w:rsidRPr="00AB7B88">
        <w:rPr>
          <w:rStyle w:val="Bodytext52"/>
          <w:rFonts w:ascii="Times New Roman" w:hAnsi="Times New Roman"/>
          <w:color w:val="000000"/>
          <w:sz w:val="20"/>
          <w:vertAlign w:val="superscript"/>
          <w:lang w:eastAsia="es-ES_tradnl"/>
        </w:rPr>
        <w:footnoteReference w:id="363"/>
      </w:r>
      <w:r w:rsidRPr="00AB7B88">
        <w:rPr>
          <w:rStyle w:val="Bodytext52"/>
          <w:rFonts w:ascii="Times New Roman" w:hAnsi="Times New Roman"/>
          <w:color w:val="000000"/>
          <w:sz w:val="20"/>
          <w:lang w:val="es-AR" w:eastAsia="es-ES_tradnl"/>
        </w:rPr>
        <w:t>".</w:t>
      </w:r>
    </w:p>
    <w:p w14:paraId="39260EA1" w14:textId="77777777" w:rsidR="003B3957" w:rsidRPr="00AB7B88" w:rsidRDefault="003B3957" w:rsidP="00681B5A">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Por otra parte, la Demandada sostiene que el Comentario:</w:t>
      </w:r>
    </w:p>
    <w:p w14:paraId="040BFF79" w14:textId="77777777" w:rsidR="003B3957" w:rsidRPr="00AB7B88" w:rsidRDefault="003B3957" w:rsidP="001139C6">
      <w:pPr>
        <w:pStyle w:val="Bodytext1"/>
        <w:shd w:val="clear" w:color="auto" w:fill="auto"/>
        <w:spacing w:before="0" w:line="360" w:lineRule="auto"/>
        <w:ind w:left="522" w:firstLine="0"/>
        <w:jc w:val="both"/>
        <w:rPr>
          <w:sz w:val="20"/>
          <w:lang w:val="es-AR"/>
        </w:rPr>
      </w:pPr>
      <w:r w:rsidRPr="00AB7B88">
        <w:rPr>
          <w:rStyle w:val="Bodytext52"/>
          <w:rFonts w:ascii="Times New Roman" w:hAnsi="Times New Roman"/>
          <w:color w:val="000000"/>
          <w:sz w:val="20"/>
          <w:lang w:val="es-AR" w:eastAsia="es-ES_tradnl"/>
        </w:rPr>
        <w:t>Al referirse a su comportamiento que ’hubiera constituido’ una violación ’si la norma primaria pertinente hubiera estado vigente ’, el Comentario no sugiere, de ninguna manera, que ese comportamiento en el momento en que la norma primaria pertinente no estaba vigente podría constituir una violación. Por el contrario, el Comentario también establece que un acto ilícito continuo 'ocupa la totalidad del período durante el cual se extiende el acto y no permanece de conformidad con la obligación internacional, en tanto el Estado esté sujeto por esa obligación internacional durante ese período'. Pero dado que las Demandantes no tenían una inversión antes del 1 de agosto de 2016, Uruguay no estaba 'sujeto’ al Tratado (la norma primaria) con respecto a las Demandantes durante ese período, y el Tribunal no pueda posiblemente encontrar un incumplimiento en el comportamiento antes de ese momento</w:t>
      </w:r>
      <w:r w:rsidRPr="00AB7B88">
        <w:rPr>
          <w:rStyle w:val="Bodytext52"/>
          <w:rFonts w:ascii="Times New Roman" w:hAnsi="Times New Roman"/>
          <w:color w:val="000000"/>
          <w:sz w:val="20"/>
          <w:vertAlign w:val="superscript"/>
          <w:lang w:eastAsia="es-ES_tradnl"/>
        </w:rPr>
        <w:footnoteReference w:id="364"/>
      </w:r>
      <w:r w:rsidRPr="00AB7B88">
        <w:rPr>
          <w:rStyle w:val="Bodytext52"/>
          <w:rFonts w:ascii="Times New Roman" w:hAnsi="Times New Roman"/>
          <w:color w:val="000000"/>
          <w:sz w:val="20"/>
          <w:lang w:val="es-AR" w:eastAsia="es-ES_tradnl"/>
        </w:rPr>
        <w:t>.</w:t>
      </w:r>
    </w:p>
    <w:p w14:paraId="5B547549"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lastRenderedPageBreak/>
        <w:t>A su vez, los Demandantes aclaran que lo que dicen:</w:t>
      </w:r>
    </w:p>
    <w:p w14:paraId="5224516D" w14:textId="77777777" w:rsidR="003B3957" w:rsidRPr="00AB7B88" w:rsidRDefault="003B3957" w:rsidP="00751702">
      <w:pPr>
        <w:pStyle w:val="Bodytext1"/>
        <w:shd w:val="clear" w:color="auto" w:fill="auto"/>
        <w:spacing w:before="0" w:line="360" w:lineRule="auto"/>
        <w:ind w:left="522" w:firstLine="0"/>
        <w:jc w:val="both"/>
        <w:rPr>
          <w:sz w:val="20"/>
          <w:lang w:val="es-AR"/>
        </w:rPr>
      </w:pPr>
      <w:r w:rsidRPr="00AB7B88">
        <w:rPr>
          <w:rStyle w:val="Bodytext52"/>
          <w:rFonts w:ascii="Times New Roman" w:hAnsi="Times New Roman"/>
          <w:color w:val="000000"/>
          <w:sz w:val="20"/>
          <w:lang w:val="es-AR" w:eastAsia="es-ES_tradnl"/>
        </w:rPr>
        <w:t>[...] no es que los actos de Uruguay anteriores al 1 de agosto de 2016 constituyeran una violación "en el momento en que la norma primaria pertinente no estaba vigente". Lo que sostienen es que, en este escenario específico en que Uruguay sostiene que la fecha de vigencia del TBI es el</w:t>
      </w:r>
      <w:r w:rsidR="00751702" w:rsidRPr="00AB7B88">
        <w:rPr>
          <w:sz w:val="20"/>
          <w:lang w:val="es-AR"/>
        </w:rPr>
        <w:t xml:space="preserve"> </w:t>
      </w:r>
      <w:r w:rsidR="00751702" w:rsidRPr="00AB7B88">
        <w:rPr>
          <w:rStyle w:val="Bodytext52"/>
          <w:rFonts w:ascii="Times New Roman" w:hAnsi="Times New Roman"/>
          <w:color w:val="000000"/>
          <w:sz w:val="20"/>
          <w:lang w:val="es-AR" w:eastAsia="es-ES_tradnl"/>
        </w:rPr>
        <w:t xml:space="preserve">1 </w:t>
      </w:r>
      <w:r w:rsidRPr="00AB7B88">
        <w:rPr>
          <w:rStyle w:val="Bodytext52"/>
          <w:rFonts w:ascii="Times New Roman" w:hAnsi="Times New Roman"/>
          <w:color w:val="000000"/>
          <w:sz w:val="20"/>
          <w:lang w:val="es-AR" w:eastAsia="es-ES_tradnl"/>
        </w:rPr>
        <w:t>de agosto de 2016, si la norma primaria hubiera estado vigente con anterioridad a esa fecha, la implementación y aplicación de la Ley de Minera Aratirí habría constituido una violación en los términos del TBI entre el Reino Unido y Uruguay. En consecuencia, como la Lev de Minera Aratirí todavía estaba vigente y se la estaba implementando y aplicando activamente de manera perjudicial para las Demandantes mucho después del 1 de agosto de 2016, la implementación y aplicación de la Ley de Minera Aratirí por parte de Uruguay constituyen un acto continuo que se ajusta a esa definición</w:t>
      </w:r>
      <w:r w:rsidRPr="00AB7B88">
        <w:rPr>
          <w:rStyle w:val="Bodytext52"/>
          <w:rFonts w:ascii="Times New Roman" w:hAnsi="Times New Roman"/>
          <w:color w:val="000000"/>
          <w:sz w:val="20"/>
          <w:vertAlign w:val="superscript"/>
          <w:lang w:eastAsia="es-ES_tradnl"/>
        </w:rPr>
        <w:footnoteReference w:id="365"/>
      </w:r>
      <w:r w:rsidRPr="00AB7B88">
        <w:rPr>
          <w:rStyle w:val="Bodytext52"/>
          <w:rFonts w:ascii="Times New Roman" w:hAnsi="Times New Roman"/>
          <w:color w:val="000000"/>
          <w:sz w:val="20"/>
          <w:lang w:val="es-AR" w:eastAsia="es-ES_tradnl"/>
        </w:rPr>
        <w:t>.</w:t>
      </w:r>
    </w:p>
    <w:p w14:paraId="5654AF9E"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En opinión del Tribunal, el texto del Comentario del artículo 14.2, es claro; en palabras del tribunal en el caso </w:t>
      </w:r>
      <w:r w:rsidRPr="00AB7B88">
        <w:rPr>
          <w:rStyle w:val="Bodytext13125pt"/>
          <w:rFonts w:ascii="Times New Roman" w:hAnsi="Times New Roman"/>
          <w:b w:val="0"/>
          <w:smallCaps w:val="0"/>
          <w:color w:val="000000"/>
          <w:sz w:val="20"/>
          <w:lang w:val="es-AR" w:eastAsia="es-ES_tradnl"/>
        </w:rPr>
        <w:t>PAC Rim,</w:t>
      </w:r>
      <w:r w:rsidRPr="00AB7B88">
        <w:rPr>
          <w:rStyle w:val="Bodytext52"/>
          <w:rFonts w:ascii="Times New Roman" w:hAnsi="Times New Roman"/>
          <w:color w:val="000000"/>
          <w:sz w:val="20"/>
          <w:lang w:val="es-AR" w:eastAsia="es-ES_tradnl"/>
        </w:rPr>
        <w:t xml:space="preserve"> "[e]n esta situación [de un hecho continuo], el hecho ilícito solo comienza cuando se aplica la norma que este acto infringe</w:t>
      </w:r>
      <w:r w:rsidRPr="00AB7B88">
        <w:rPr>
          <w:rStyle w:val="Bodytext52"/>
          <w:rFonts w:ascii="Times New Roman" w:hAnsi="Times New Roman"/>
          <w:color w:val="000000"/>
          <w:sz w:val="20"/>
          <w:vertAlign w:val="superscript"/>
          <w:lang w:eastAsia="es-ES_tradnl"/>
        </w:rPr>
        <w:footnoteReference w:id="366"/>
      </w:r>
      <w:r w:rsidRPr="00AB7B88">
        <w:rPr>
          <w:rStyle w:val="Bodytext52"/>
          <w:rFonts w:ascii="Times New Roman" w:hAnsi="Times New Roman"/>
          <w:color w:val="000000"/>
          <w:sz w:val="20"/>
          <w:lang w:val="es-AR" w:eastAsia="es-ES_tradnl"/>
        </w:rPr>
        <w:t xml:space="preserve">". Otros casos analizados por las Partes confirman este entendimiento. El tribunal en el caso </w:t>
      </w:r>
      <w:r w:rsidRPr="00AB7B88">
        <w:rPr>
          <w:rStyle w:val="Bodytext13125pt"/>
          <w:rFonts w:ascii="Times New Roman" w:hAnsi="Times New Roman"/>
          <w:b w:val="0"/>
          <w:smallCaps w:val="0"/>
          <w:color w:val="000000"/>
          <w:sz w:val="20"/>
          <w:lang w:val="es-AR" w:eastAsia="es-ES_tradnl"/>
        </w:rPr>
        <w:t>Mondevhizo</w:t>
      </w:r>
      <w:r w:rsidRPr="00AB7B88">
        <w:rPr>
          <w:rStyle w:val="Bodytext52"/>
          <w:rFonts w:ascii="Times New Roman" w:hAnsi="Times New Roman"/>
          <w:color w:val="000000"/>
          <w:sz w:val="20"/>
          <w:lang w:val="es-AR" w:eastAsia="es-ES_tradnl"/>
        </w:rPr>
        <w:t xml:space="preserve"> referencia al principio básico del derecho internacional según el cual "un Estado solo puede ser responsable internacionalmente por el incumplimiento de una obligación de un tratado si la obligación está en vigor para ese Estado en el momento en el que ocurrió el presunto incumplimiento. El principio está consagrado tanto en la Convención de Viena como en los Artículos de la CDI sobre la responsabilidad del Estado, y ha sido ratificado reiteradamente por tribunales internacionales</w:t>
      </w:r>
      <w:r w:rsidRPr="00AB7B88">
        <w:rPr>
          <w:rStyle w:val="Bodytext52"/>
          <w:rFonts w:ascii="Times New Roman" w:hAnsi="Times New Roman"/>
          <w:color w:val="000000"/>
          <w:sz w:val="20"/>
          <w:vertAlign w:val="superscript"/>
          <w:lang w:eastAsia="es-ES_tradnl"/>
        </w:rPr>
        <w:footnoteReference w:id="367"/>
      </w:r>
      <w:r w:rsidRPr="00AB7B88">
        <w:rPr>
          <w:rStyle w:val="Bodytext52"/>
          <w:rFonts w:ascii="Times New Roman" w:hAnsi="Times New Roman"/>
          <w:color w:val="000000"/>
          <w:sz w:val="20"/>
          <w:lang w:val="es-AR" w:eastAsia="es-ES_tradnl"/>
        </w:rPr>
        <w:t>".</w:t>
      </w:r>
    </w:p>
    <w:p w14:paraId="09E22541"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Ambos tribunales tomaron en consideración la relevancia de la conducta del Estado antes del momento en el que surge la obligación del Estado. La controversia en </w:t>
      </w:r>
      <w:r w:rsidRPr="00AB7B88">
        <w:rPr>
          <w:rStyle w:val="Bodytext13125pt"/>
          <w:rFonts w:ascii="Times New Roman" w:hAnsi="Times New Roman"/>
          <w:b w:val="0"/>
          <w:bCs w:val="0"/>
          <w:smallCaps w:val="0"/>
          <w:color w:val="000000"/>
          <w:sz w:val="20"/>
          <w:lang w:val="es-AR" w:eastAsia="es-ES_tradnl"/>
        </w:rPr>
        <w:t>Mondev</w:t>
      </w:r>
      <w:r w:rsidRPr="00AB7B88">
        <w:rPr>
          <w:rStyle w:val="Bodytext52"/>
          <w:rFonts w:ascii="Times New Roman" w:hAnsi="Times New Roman"/>
          <w:color w:val="000000"/>
          <w:sz w:val="20"/>
          <w:lang w:val="es-AR" w:eastAsia="es-ES_tradnl"/>
        </w:rPr>
        <w:t xml:space="preserve"> surgió antes de la entrada en vigor del TLCAN y el TLCAN no tiene efecto retroactivo. El tribunal sostuvo: "[...] los acontecimientos o conducta anteriores a la entrada en vigor de una obligación para el Estado demandado pueden ser pertinentes para establecer si el Estado ha incumplido la obligación en un momento posterior. Pero aún debe ser posible indicar la conducta del Estado después de esa i fecha que constituye un incumplimiento en sí misma. [...] El mero hecho de que esa conducta anterior no haya sido subsanada ni reparada al momento de la entrada en vigor de un tratado no justifica la aplicación retroactiva del tratado respecto de esa conducta por parte de un tribunal</w:t>
      </w:r>
      <w:r w:rsidRPr="00AB7B88">
        <w:rPr>
          <w:rStyle w:val="Bodytext52"/>
          <w:rFonts w:ascii="Times New Roman" w:hAnsi="Times New Roman"/>
          <w:color w:val="000000"/>
          <w:sz w:val="20"/>
          <w:vertAlign w:val="superscript"/>
          <w:lang w:eastAsia="es-ES_tradnl"/>
        </w:rPr>
        <w:footnoteReference w:id="368"/>
      </w:r>
      <w:r w:rsidRPr="00AB7B88">
        <w:rPr>
          <w:rStyle w:val="Bodytext52"/>
          <w:rFonts w:ascii="Times New Roman" w:hAnsi="Times New Roman"/>
          <w:color w:val="000000"/>
          <w:sz w:val="20"/>
          <w:lang w:val="es-AR" w:eastAsia="es-ES_tradnl"/>
        </w:rPr>
        <w:t>".</w:t>
      </w:r>
    </w:p>
    <w:p w14:paraId="43BBF4D2"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Tribunal coincide con esta conclusión del tribunal en el caso </w:t>
      </w:r>
      <w:r w:rsidRPr="00AB7B88">
        <w:rPr>
          <w:rStyle w:val="Bodytext13125pt"/>
          <w:rFonts w:ascii="Times New Roman" w:hAnsi="Times New Roman"/>
          <w:b w:val="0"/>
          <w:bCs w:val="0"/>
          <w:smallCaps w:val="0"/>
          <w:color w:val="000000"/>
          <w:sz w:val="20"/>
          <w:lang w:val="es-AR" w:eastAsia="es-ES_tradnl"/>
        </w:rPr>
        <w:t>Mondev.</w:t>
      </w:r>
      <w:r w:rsidRPr="00AB7B88">
        <w:rPr>
          <w:rStyle w:val="Bodytext52"/>
          <w:rFonts w:ascii="Times New Roman" w:hAnsi="Times New Roman"/>
          <w:color w:val="000000"/>
          <w:sz w:val="20"/>
          <w:lang w:val="es-AR" w:eastAsia="es-ES_tradnl"/>
        </w:rPr>
        <w:t xml:space="preserve"> Así, la conducta de la Demandada </w:t>
      </w:r>
      <w:r w:rsidRPr="00AB7B88">
        <w:rPr>
          <w:rStyle w:val="Bodytext52"/>
          <w:rFonts w:ascii="Times New Roman" w:hAnsi="Times New Roman"/>
          <w:color w:val="000000"/>
          <w:sz w:val="20"/>
          <w:lang w:val="es-AR" w:eastAsia="es-ES_tradnl"/>
        </w:rPr>
        <w:lastRenderedPageBreak/>
        <w:t xml:space="preserve">previa al 1 de agosto de 2016 es solamente pertinente, en las palabras del tribunal en el caso </w:t>
      </w:r>
      <w:r w:rsidRPr="00AB7B88">
        <w:rPr>
          <w:rStyle w:val="Bodytext13125pt"/>
          <w:rFonts w:ascii="Times New Roman" w:hAnsi="Times New Roman"/>
          <w:b w:val="0"/>
          <w:smallCaps w:val="0"/>
          <w:color w:val="000000"/>
          <w:sz w:val="20"/>
          <w:lang w:val="es-AR" w:eastAsia="es-ES_tradnl"/>
        </w:rPr>
        <w:t>MCI,</w:t>
      </w:r>
      <w:r w:rsidRPr="00AB7B88">
        <w:rPr>
          <w:rStyle w:val="Bodytext52"/>
          <w:rFonts w:ascii="Times New Roman" w:hAnsi="Times New Roman"/>
          <w:color w:val="000000"/>
          <w:sz w:val="20"/>
          <w:lang w:val="es-AR" w:eastAsia="es-ES_tradnl"/>
        </w:rPr>
        <w:t xml:space="preserve"> "a efectos de evaluar los antecedentes, causas y alcance de las violaciones del TBI acontecidas con posterioridad a su entrada en vigor</w:t>
      </w:r>
      <w:r w:rsidRPr="00AB7B88">
        <w:rPr>
          <w:rStyle w:val="Bodytext52"/>
          <w:rFonts w:ascii="Times New Roman" w:hAnsi="Times New Roman"/>
          <w:color w:val="000000"/>
          <w:sz w:val="20"/>
          <w:vertAlign w:val="superscript"/>
          <w:lang w:eastAsia="es-ES_tradnl"/>
        </w:rPr>
        <w:footnoteReference w:id="369"/>
      </w:r>
      <w:r w:rsidRPr="00AB7B88">
        <w:rPr>
          <w:rStyle w:val="Bodytext52"/>
          <w:rFonts w:ascii="Times New Roman" w:hAnsi="Times New Roman"/>
          <w:color w:val="000000"/>
          <w:sz w:val="20"/>
          <w:lang w:val="es-AR" w:eastAsia="es-ES_tradnl"/>
        </w:rPr>
        <w:t>". En consecuencia, la siguiente pregunta que debe resolver el Tribunal es si la Demandada hizo algo después del 1 de agosto de 2016, más allá de ignorar los efectos de sus actos previos, que en sí mismo constituyera un incumplimiento del TBI. El hecho que la Ley de Minería de Gran Porte permaneciera en vigor sería suficiente solo si la Demandada hubiese realizado alguna acción de conformidad con esa ley el 1 de agosto de 2016, o posteriormente, que diese lugar a una controversia diferente de las controversias que ya existían el</w:t>
      </w:r>
      <w:r w:rsidRPr="00AB7B88">
        <w:rPr>
          <w:sz w:val="20"/>
          <w:lang w:val="es-AR"/>
        </w:rPr>
        <w:t xml:space="preserve"> 1 </w:t>
      </w:r>
      <w:r w:rsidRPr="00AB7B88">
        <w:rPr>
          <w:rStyle w:val="Bodytext52"/>
          <w:rFonts w:ascii="Times New Roman" w:hAnsi="Times New Roman"/>
          <w:color w:val="000000"/>
          <w:sz w:val="20"/>
          <w:lang w:val="es-AR" w:eastAsia="es-ES_tradnl"/>
        </w:rPr>
        <w:t>de agosto de 2016.</w:t>
      </w:r>
    </w:p>
    <w:p w14:paraId="1CABFDB3" w14:textId="77777777" w:rsidR="003B3957" w:rsidRPr="00AB7B88" w:rsidRDefault="003B3957" w:rsidP="0088235F">
      <w:pPr>
        <w:pStyle w:val="Heading20"/>
        <w:keepNext/>
        <w:keepLines/>
        <w:numPr>
          <w:ilvl w:val="0"/>
          <w:numId w:val="52"/>
        </w:numPr>
        <w:shd w:val="clear" w:color="auto" w:fill="auto"/>
        <w:tabs>
          <w:tab w:val="left" w:pos="340"/>
        </w:tabs>
        <w:spacing w:before="380" w:after="0" w:line="360" w:lineRule="auto"/>
        <w:ind w:firstLine="0"/>
        <w:jc w:val="left"/>
        <w:rPr>
          <w:rFonts w:ascii="Times New Roman" w:hAnsi="Times New Roman"/>
          <w:b w:val="0"/>
          <w:sz w:val="20"/>
          <w:lang w:val="es-AR"/>
        </w:rPr>
      </w:pPr>
      <w:bookmarkStart w:id="103" w:name="bookmark104"/>
      <w:bookmarkStart w:id="104" w:name="bookmark105"/>
      <w:r w:rsidRPr="00AB7B88">
        <w:rPr>
          <w:rStyle w:val="Heading2"/>
          <w:rFonts w:ascii="Times New Roman" w:hAnsi="Times New Roman"/>
          <w:b/>
          <w:color w:val="000000"/>
          <w:sz w:val="20"/>
          <w:lang w:val="es-AR" w:eastAsia="es-ES_tradnl"/>
        </w:rPr>
        <w:t>¿Realizó la Demandada alguna acción que derivase en una controversia el 1 de agosto de 2016 o posteriormente?</w:t>
      </w:r>
      <w:bookmarkEnd w:id="103"/>
      <w:bookmarkEnd w:id="104"/>
    </w:p>
    <w:p w14:paraId="0D30749A"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Los Demandantes hicieron referencia a lo siguiente en la Audiencia como elemento constitutivo de dicha acción:</w:t>
      </w:r>
    </w:p>
    <w:p w14:paraId="16F5F0BE" w14:textId="77777777" w:rsidR="003B3957" w:rsidRPr="00AB7B88" w:rsidRDefault="003B3957" w:rsidP="009345C8">
      <w:pPr>
        <w:pStyle w:val="Bodytext1"/>
        <w:shd w:val="clear" w:color="auto" w:fill="auto"/>
        <w:spacing w:before="0" w:line="360" w:lineRule="auto"/>
        <w:ind w:left="522" w:firstLine="0"/>
        <w:jc w:val="both"/>
        <w:rPr>
          <w:sz w:val="20"/>
          <w:lang w:val="es-AR"/>
        </w:rPr>
      </w:pPr>
      <w:r w:rsidRPr="00AB7B88">
        <w:rPr>
          <w:rStyle w:val="Bodytext52"/>
          <w:rFonts w:ascii="Times New Roman" w:hAnsi="Times New Roman"/>
          <w:color w:val="000000"/>
          <w:sz w:val="20"/>
          <w:lang w:val="es-AR" w:eastAsia="es-ES_tradnl"/>
        </w:rPr>
        <w:t>[L]a retención de datos comerciales altamente delicados de la Demandante sin pagarlos y como la ley lo [disponía], un enriquecimiento ilícito e injusto que resultó del acto de colocar los depósitos de Valentines en "reserva" de manera que el Gobierno los pudiese desarrollar por cuenta propia y nunca compensó a la Demandante</w:t>
      </w:r>
      <w:r w:rsidRPr="00AB7B88">
        <w:rPr>
          <w:rStyle w:val="Bodytext52"/>
          <w:rFonts w:ascii="Times New Roman" w:hAnsi="Times New Roman"/>
          <w:color w:val="000000"/>
          <w:sz w:val="20"/>
          <w:vertAlign w:val="superscript"/>
          <w:lang w:eastAsia="es-ES_tradnl"/>
        </w:rPr>
        <w:footnoteReference w:id="370"/>
      </w:r>
      <w:r w:rsidRPr="00AB7B88">
        <w:rPr>
          <w:rStyle w:val="Bodytext52"/>
          <w:rFonts w:ascii="Times New Roman" w:hAnsi="Times New Roman"/>
          <w:color w:val="000000"/>
          <w:sz w:val="20"/>
          <w:lang w:val="es-AR" w:eastAsia="es-ES_tradnl"/>
        </w:rPr>
        <w:t>.</w:t>
      </w:r>
    </w:p>
    <w:p w14:paraId="742176B9"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La Demandada respondió conforme se indica a continuación:</w:t>
      </w:r>
    </w:p>
    <w:p w14:paraId="42D47EE8" w14:textId="77777777" w:rsidR="003B3957" w:rsidRPr="00AB7B88" w:rsidRDefault="003B3957" w:rsidP="009345C8">
      <w:pPr>
        <w:pStyle w:val="Bodytext1"/>
        <w:shd w:val="clear" w:color="auto" w:fill="auto"/>
        <w:spacing w:before="0" w:line="360" w:lineRule="auto"/>
        <w:ind w:left="522" w:firstLine="0"/>
        <w:jc w:val="both"/>
        <w:rPr>
          <w:sz w:val="20"/>
          <w:lang w:val="es-AR"/>
        </w:rPr>
      </w:pPr>
      <w:r w:rsidRPr="00AB7B88">
        <w:rPr>
          <w:rStyle w:val="Bodytext52"/>
          <w:rFonts w:ascii="Times New Roman" w:hAnsi="Times New Roman"/>
          <w:color w:val="000000"/>
          <w:sz w:val="20"/>
          <w:lang w:val="es-AR" w:eastAsia="es-ES_tradnl"/>
        </w:rPr>
        <w:t>[L]a Declaración de reserva minera ocurrió en octubre de 2017, después de la Notificación de arbitraje. De hecho, nunca hubo una diferencia en lo que hace a la Declaración de reserva minera hasta que las Demandantes las inventaron en este procedimiento y el Tribunal no tiene jurisdicción en torno a diferencias que no existían al momento en que se constituyó este caso</w:t>
      </w:r>
      <w:r w:rsidRPr="00AB7B88">
        <w:rPr>
          <w:rStyle w:val="Bodytext52"/>
          <w:rFonts w:ascii="Times New Roman" w:hAnsi="Times New Roman"/>
          <w:color w:val="000000"/>
          <w:sz w:val="20"/>
          <w:vertAlign w:val="superscript"/>
          <w:lang w:eastAsia="es-ES_tradnl"/>
        </w:rPr>
        <w:footnoteReference w:id="371"/>
      </w:r>
      <w:r w:rsidRPr="00AB7B88">
        <w:rPr>
          <w:rStyle w:val="Bodytext52"/>
          <w:rFonts w:ascii="Times New Roman" w:hAnsi="Times New Roman"/>
          <w:color w:val="000000"/>
          <w:sz w:val="20"/>
          <w:lang w:val="es-AR" w:eastAsia="es-ES_tradnl"/>
        </w:rPr>
        <w:t>.</w:t>
      </w:r>
    </w:p>
    <w:p w14:paraId="6D15731A"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El Tribunal coincide con la Demandada. El Tribunal carece de jurisdicción para considerar pretensiones planteadas sobre la base de acciones realizadas con posterioridad a la presentación de la Notificación de Arbitraje o para considerar controversias que no surgieron hasta después de dicha presentación.</w:t>
      </w:r>
    </w:p>
    <w:p w14:paraId="6AEDB111"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El Tribunal concluye con la aceptación de la objeción </w:t>
      </w:r>
      <w:r w:rsidRPr="00AB7B88">
        <w:rPr>
          <w:rStyle w:val="Bodytext13125pt"/>
          <w:rFonts w:ascii="Times New Roman" w:hAnsi="Times New Roman"/>
          <w:b w:val="0"/>
          <w:smallCaps w:val="0"/>
          <w:color w:val="000000"/>
          <w:sz w:val="20"/>
          <w:lang w:val="es-AR" w:eastAsia="es-ES_tradnl"/>
        </w:rPr>
        <w:t>ratione temporis</w:t>
      </w:r>
      <w:r w:rsidRPr="00AB7B88">
        <w:rPr>
          <w:rStyle w:val="Bodytext52"/>
          <w:rFonts w:ascii="Times New Roman" w:hAnsi="Times New Roman"/>
          <w:color w:val="000000"/>
          <w:sz w:val="20"/>
          <w:lang w:val="es-AR" w:eastAsia="es-ES_tradnl"/>
        </w:rPr>
        <w:t xml:space="preserve"> de la Demandada. Por razones de economía procesal, el Tribunal no considerará las demás objeciones a su jurisdicción.</w:t>
      </w:r>
    </w:p>
    <w:p w14:paraId="3BAEC67F" w14:textId="77777777" w:rsidR="003B3957" w:rsidRPr="00AB7B88" w:rsidRDefault="003B3957" w:rsidP="00E66EBF">
      <w:pPr>
        <w:pStyle w:val="Bodytext30"/>
        <w:widowControl w:val="0"/>
        <w:numPr>
          <w:ilvl w:val="0"/>
          <w:numId w:val="55"/>
        </w:numPr>
        <w:shd w:val="clear" w:color="auto" w:fill="auto"/>
        <w:tabs>
          <w:tab w:val="left" w:pos="567"/>
        </w:tabs>
        <w:spacing w:before="380" w:after="0" w:line="360" w:lineRule="auto"/>
        <w:ind w:left="522" w:hanging="522"/>
        <w:jc w:val="both"/>
        <w:rPr>
          <w:sz w:val="20"/>
        </w:rPr>
      </w:pPr>
      <w:bookmarkStart w:id="105" w:name="bookmark106"/>
      <w:bookmarkStart w:id="106" w:name="bookmark107"/>
      <w:r w:rsidRPr="00AB7B88">
        <w:rPr>
          <w:rStyle w:val="Bodytext3"/>
          <w:b/>
          <w:bCs/>
          <w:color w:val="000000"/>
          <w:sz w:val="20"/>
          <w:lang w:eastAsia="es-ES_tradnl"/>
        </w:rPr>
        <w:lastRenderedPageBreak/>
        <w:t>COSTAS</w:t>
      </w:r>
      <w:bookmarkEnd w:id="105"/>
      <w:bookmarkEnd w:id="106"/>
    </w:p>
    <w:p w14:paraId="3B01D093"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De conformidad con el artículo 40.1 del Reglamento CNUDMI, "[e]l tribunal fijará las costas del arbitraje en el laudo final". En la presente sección, se fijan y prorratean entre las Partes las costas del arbitraje, conforme se definen en el artículo 40.2 del Reglamento CNUDMI.</w:t>
      </w:r>
    </w:p>
    <w:p w14:paraId="4FAB7A75"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13125pt"/>
          <w:rFonts w:ascii="Times New Roman" w:hAnsi="Times New Roman"/>
          <w:b w:val="0"/>
          <w:bCs w:val="0"/>
          <w:smallCaps w:val="0"/>
          <w:color w:val="000000"/>
          <w:sz w:val="20"/>
          <w:lang w:val="es-AR" w:eastAsia="es-ES_tradnl"/>
        </w:rPr>
        <w:t>Costes del Tribunal,</w:t>
      </w:r>
      <w:r w:rsidRPr="00AB7B88">
        <w:rPr>
          <w:rStyle w:val="Bodytext52"/>
          <w:rFonts w:ascii="Times New Roman" w:hAnsi="Times New Roman"/>
          <w:color w:val="000000"/>
          <w:sz w:val="20"/>
          <w:lang w:val="es-AR" w:eastAsia="es-ES_tradnl"/>
        </w:rPr>
        <w:t xml:space="preserve"> de conformidad con el artículo 40.2 a) del Reglamento CNUDMI, "[l]os honorarios del tribunal arbitral [se indicarán] por separado para cada árbitro y [serán] fijados por el propio tribunal de conformidad con el artículo 41". A su vez, el artículo 41 del Reglamento CNUDMI dispone: "[l]os honorarios y los gastos de los árbitros serán de una cuantía razonable, teniendo en cuenta el monto en disputa, la complejidad del tema, el tiempo dedicado por los árbitros y cualesquiera otras circunstancias pertinentes del caso".</w:t>
      </w:r>
    </w:p>
    <w:p w14:paraId="0085B94B"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De conformidad con las disposiciones antes mencionadas y la sección 9 del Acta de Constitución, los honorarios y los gastos del Tribunal son los siguientes:</w:t>
      </w:r>
    </w:p>
    <w:p w14:paraId="25221D1B" w14:textId="77777777" w:rsidR="003B3957" w:rsidRPr="00AB7B88" w:rsidRDefault="003B3957" w:rsidP="00157F94">
      <w:pPr>
        <w:pStyle w:val="Bodytext1"/>
        <w:numPr>
          <w:ilvl w:val="0"/>
          <w:numId w:val="56"/>
        </w:numPr>
        <w:shd w:val="clear" w:color="auto" w:fill="auto"/>
        <w:tabs>
          <w:tab w:val="left" w:pos="851"/>
        </w:tabs>
        <w:spacing w:before="380" w:line="360" w:lineRule="auto"/>
        <w:ind w:left="522" w:firstLine="0"/>
        <w:rPr>
          <w:sz w:val="20"/>
          <w:lang w:val="es-AR"/>
        </w:rPr>
      </w:pPr>
      <w:r w:rsidRPr="00AB7B88">
        <w:rPr>
          <w:rStyle w:val="Bodytext52"/>
          <w:rFonts w:ascii="Times New Roman" w:hAnsi="Times New Roman"/>
          <w:color w:val="000000"/>
          <w:sz w:val="20"/>
          <w:lang w:val="es-AR" w:eastAsia="es-ES_tradnl"/>
        </w:rPr>
        <w:t>Dr. Andrés Rigo Sureda: USD 233.567,50 (honorarios); USD 447 (gastos);</w:t>
      </w:r>
    </w:p>
    <w:p w14:paraId="28C36AC1" w14:textId="77777777" w:rsidR="003B3957" w:rsidRPr="00AB7B88" w:rsidRDefault="003B3957" w:rsidP="00157F94">
      <w:pPr>
        <w:pStyle w:val="Bodytext1"/>
        <w:numPr>
          <w:ilvl w:val="0"/>
          <w:numId w:val="56"/>
        </w:numPr>
        <w:shd w:val="clear" w:color="auto" w:fill="auto"/>
        <w:tabs>
          <w:tab w:val="left" w:pos="833"/>
        </w:tabs>
        <w:spacing w:before="380" w:line="360" w:lineRule="auto"/>
        <w:ind w:left="522" w:firstLine="0"/>
        <w:rPr>
          <w:sz w:val="20"/>
          <w:lang w:val="es-AR"/>
        </w:rPr>
      </w:pPr>
      <w:r w:rsidRPr="00AB7B88">
        <w:rPr>
          <w:rStyle w:val="Bodytext52"/>
          <w:rFonts w:ascii="Times New Roman" w:hAnsi="Times New Roman"/>
          <w:color w:val="000000"/>
          <w:sz w:val="20"/>
          <w:lang w:val="es-AR" w:eastAsia="es-ES_tradnl"/>
        </w:rPr>
        <w:t>Juez O. Thomas Johnson: USD 184.437,50 (honorarios); USD 6.469,05 (gastos);</w:t>
      </w:r>
    </w:p>
    <w:p w14:paraId="6BE33A33" w14:textId="77777777" w:rsidR="003B3957" w:rsidRPr="00AB7B88" w:rsidRDefault="003B3957" w:rsidP="00CD06B0">
      <w:pPr>
        <w:pStyle w:val="Bodytext1"/>
        <w:numPr>
          <w:ilvl w:val="0"/>
          <w:numId w:val="56"/>
        </w:numPr>
        <w:shd w:val="clear" w:color="auto" w:fill="auto"/>
        <w:tabs>
          <w:tab w:val="left" w:pos="851"/>
        </w:tabs>
        <w:spacing w:before="380" w:line="360" w:lineRule="auto"/>
        <w:ind w:left="522" w:firstLine="0"/>
        <w:rPr>
          <w:sz w:val="20"/>
          <w:lang w:val="es-AR"/>
        </w:rPr>
      </w:pPr>
      <w:r w:rsidRPr="00AB7B88">
        <w:rPr>
          <w:rStyle w:val="Bodytext52"/>
          <w:rFonts w:ascii="Times New Roman" w:hAnsi="Times New Roman"/>
          <w:color w:val="000000"/>
          <w:sz w:val="20"/>
          <w:lang w:val="es-AR" w:eastAsia="es-ES_tradnl"/>
        </w:rPr>
        <w:t>Profesor Pierre Mayer: USD 229.872,50 (honorarios); USD 23.733,98 (gastos).</w:t>
      </w:r>
    </w:p>
    <w:p w14:paraId="073CB50C"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rPr>
      </w:pPr>
      <w:r w:rsidRPr="00AB7B88">
        <w:rPr>
          <w:rStyle w:val="Bodytext13125pt"/>
          <w:rFonts w:ascii="Times New Roman" w:hAnsi="Times New Roman"/>
          <w:b w:val="0"/>
          <w:bCs w:val="0"/>
          <w:smallCaps w:val="0"/>
          <w:color w:val="000000"/>
          <w:sz w:val="20"/>
          <w:lang w:val="es-AR" w:eastAsia="es-ES_tradnl"/>
        </w:rPr>
        <w:t>Otros costes,</w:t>
      </w:r>
      <w:r w:rsidRPr="00AB7B88">
        <w:rPr>
          <w:rStyle w:val="Bodytext52"/>
          <w:rFonts w:ascii="Times New Roman" w:hAnsi="Times New Roman"/>
          <w:color w:val="000000"/>
          <w:sz w:val="20"/>
          <w:lang w:val="es-AR" w:eastAsia="es-ES_tradnl"/>
        </w:rPr>
        <w:t xml:space="preserve"> Los honorarios de la CPA, que fue designada institución administradora por acuerdo de las Partes, suman USD 152.515,43. </w:t>
      </w:r>
      <w:r w:rsidRPr="00AB7B88">
        <w:rPr>
          <w:rStyle w:val="Bodytext52"/>
          <w:rFonts w:ascii="Times New Roman" w:hAnsi="Times New Roman"/>
          <w:color w:val="000000"/>
          <w:sz w:val="20"/>
          <w:lang w:eastAsia="es-ES_tradnl"/>
        </w:rPr>
        <w:t>Sus gastos suman USD 39.505,63.</w:t>
      </w:r>
    </w:p>
    <w:p w14:paraId="3EFA48A1"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Otros gastos del Tribunal, entre ellos los costes de las salas de audiencia en el CIADI, taquigrafía, traducción e interpretación simultánea, servicio de comidas, impresión, telecomunicaciones y cargos bancarios y de mensajería suman USD 490.643,42.</w:t>
      </w:r>
    </w:p>
    <w:p w14:paraId="22C115F7"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13125pt"/>
          <w:rFonts w:ascii="Times New Roman" w:hAnsi="Times New Roman"/>
          <w:b w:val="0"/>
          <w:bCs w:val="0"/>
          <w:smallCaps w:val="0"/>
          <w:color w:val="000000"/>
          <w:sz w:val="20"/>
          <w:lang w:val="es-AR" w:eastAsia="es-ES_tradnl"/>
        </w:rPr>
        <w:t>Saldo no utilizado,</w:t>
      </w:r>
      <w:r w:rsidRPr="00AB7B88">
        <w:rPr>
          <w:rStyle w:val="Bodytext52"/>
          <w:rFonts w:ascii="Times New Roman" w:hAnsi="Times New Roman"/>
          <w:color w:val="000000"/>
          <w:sz w:val="20"/>
          <w:lang w:val="es-AR" w:eastAsia="es-ES_tradnl"/>
        </w:rPr>
        <w:t xml:space="preserve"> conforme se indicó anteriormente, las Partes han realizado pagos anticipados a la CPA por un importe de USD 1.375.000 para cubrir los honorarios y los gastos del Tribunal y el coste de los servicios de registro. Dado que esos costes suman un total de USD 1.361.192,01, el saldo no utilizado en el depósito es de USD 13.807,99. De conformidad con la sección 10.4 del Acta de Constitución, el Tribunal ordena que la CPA devuelva el saldo no utilizado del depósito a las Partes en partes iguales (es decir, USD 6.904 a cada una).</w:t>
      </w:r>
    </w:p>
    <w:p w14:paraId="64747786"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lastRenderedPageBreak/>
        <w:t>De conformidad con el artículo 43.5 del Reglamento CNUDMI, una vez dictado el presente Laudo, la CPA entregará a las Partes un estado de cuentas de los depósitos recibidos.</w:t>
      </w:r>
    </w:p>
    <w:p w14:paraId="631A44DE"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13125pt"/>
          <w:rFonts w:ascii="Times New Roman" w:hAnsi="Times New Roman"/>
          <w:b w:val="0"/>
          <w:bCs w:val="0"/>
          <w:smallCaps w:val="0"/>
          <w:color w:val="000000"/>
          <w:sz w:val="20"/>
          <w:lang w:val="es-AR" w:eastAsia="es-ES_tradnl"/>
        </w:rPr>
        <w:t>Costes jurídicos y otros costes de los Demandantes:</w:t>
      </w:r>
      <w:r w:rsidRPr="00AB7B88">
        <w:rPr>
          <w:rStyle w:val="Bodytext52"/>
          <w:rFonts w:ascii="Times New Roman" w:hAnsi="Times New Roman"/>
          <w:color w:val="000000"/>
          <w:sz w:val="20"/>
          <w:lang w:val="es-AR" w:eastAsia="es-ES_tradnl"/>
        </w:rPr>
        <w:t xml:space="preserve"> en su Escrito sobre costes, los Demandantes indicaron que habían incurrido un total de USD 24.938.630 en costes, honorarios y gastos en relación con el presente arbitraje, a saber: i) un total de USD 18.479.944 en honorarios de asesores letrados; USD 1.790.091 en costes y gastos de asesores letrados; iii) un total de USD 4.018.593 en</w:t>
      </w:r>
      <w:r w:rsidRPr="00AB7B88">
        <w:rPr>
          <w:sz w:val="20"/>
          <w:lang w:val="es-AR"/>
        </w:rPr>
        <w:t xml:space="preserve"> </w:t>
      </w:r>
      <w:r w:rsidRPr="00AB7B88">
        <w:rPr>
          <w:rStyle w:val="Bodytext52"/>
          <w:rFonts w:ascii="Times New Roman" w:hAnsi="Times New Roman"/>
          <w:color w:val="000000"/>
          <w:sz w:val="20"/>
          <w:lang w:val="es-AR" w:eastAsia="es-ES_tradnl"/>
        </w:rPr>
        <w:t>honorarios y gastos de peritos; y iv) USD 650.000 en pagos anticipados a la CPA para cubrir los honorarios y los gastos del Tribunal y el coste de los servicios de registro. A solicitud del Tribunal, el 10 de julio de 2020, los Demandantes remitieron a la CPA un último pago anticipado de USD 37.500. Dado que se les van a reembolsar USD 6.904 a los Demandantes del saldo no utilizado del depósito, los costes totales de los Demandantes ascienden a USD 24.969.224.</w:t>
      </w:r>
    </w:p>
    <w:p w14:paraId="01D0D5CA"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13125pt"/>
          <w:rFonts w:ascii="Times New Roman" w:hAnsi="Times New Roman"/>
          <w:b w:val="0"/>
          <w:bCs w:val="0"/>
          <w:smallCaps w:val="0"/>
          <w:color w:val="000000"/>
          <w:sz w:val="20"/>
          <w:lang w:val="es-AR" w:eastAsia="es-ES_tradnl"/>
        </w:rPr>
        <w:t>Costes jurídicos y otros costes de la Demandada,</w:t>
      </w:r>
      <w:r w:rsidRPr="00AB7B88">
        <w:rPr>
          <w:rStyle w:val="Bodytext52"/>
          <w:rFonts w:ascii="Times New Roman" w:hAnsi="Times New Roman"/>
          <w:color w:val="000000"/>
          <w:sz w:val="20"/>
          <w:lang w:val="es-AR" w:eastAsia="es-ES_tradnl"/>
        </w:rPr>
        <w:t xml:space="preserve"> en su Escrito sobre costes, la Demandada indicó que había incurrido en un total de USD 16.523.570,36 en relación con el presente arbitraje, y declaró los siguientes costes: i) asesoramiento pericial: USD 4.598.294,90; ii) honorarios de la representación legal: USD 10.771.245,90; iii) costes de viaje de los asesores letrados y los testigos: USD 504.029,56: y iv) depósitos a la CPA: USD 650.000. A solicitud del tribunal, el 30 de junio de 2020, la Demandada remitió a la CPA un último pago anticipado de USD 37.500. Dado que se le van a reembolsar USD 6.904 a la Demandada del saldo no utilizado del depósito, los costes totales de la Demandada ascienden a USD 16.554.166,37.</w:t>
      </w:r>
    </w:p>
    <w:p w14:paraId="43A65164"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13125pt"/>
          <w:rFonts w:ascii="Times New Roman" w:hAnsi="Times New Roman"/>
          <w:b w:val="0"/>
          <w:bCs w:val="0"/>
          <w:smallCaps w:val="0"/>
          <w:color w:val="000000"/>
          <w:sz w:val="20"/>
          <w:lang w:val="es-AR" w:eastAsia="es-ES_tradnl"/>
        </w:rPr>
        <w:t>Costas totales del arbitraje:</w:t>
      </w:r>
      <w:r w:rsidRPr="00AB7B88">
        <w:rPr>
          <w:rStyle w:val="Bodytext52"/>
          <w:rFonts w:ascii="Times New Roman" w:hAnsi="Times New Roman"/>
          <w:color w:val="000000"/>
          <w:sz w:val="20"/>
          <w:lang w:val="es-AR" w:eastAsia="es-ES_tradnl"/>
        </w:rPr>
        <w:t xml:space="preserve"> las costas del arbitraje ascienden a un total de USD 41.523.390,37.</w:t>
      </w:r>
    </w:p>
    <w:p w14:paraId="5E8D4D35"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13125pt"/>
          <w:rFonts w:ascii="Times New Roman" w:hAnsi="Times New Roman"/>
          <w:b w:val="0"/>
          <w:bCs w:val="0"/>
          <w:smallCaps w:val="0"/>
          <w:color w:val="000000"/>
          <w:sz w:val="20"/>
          <w:lang w:val="es-AR" w:eastAsia="es-ES_tradnl"/>
        </w:rPr>
        <w:t>Asignación de las costas:</w:t>
      </w:r>
      <w:r w:rsidRPr="00AB7B88">
        <w:rPr>
          <w:rStyle w:val="Bodytext52"/>
          <w:rFonts w:ascii="Times New Roman" w:hAnsi="Times New Roman"/>
          <w:color w:val="000000"/>
          <w:sz w:val="20"/>
          <w:lang w:val="es-AR" w:eastAsia="es-ES_tradnl"/>
        </w:rPr>
        <w:t xml:space="preserve"> cada Parte ha solicitado al Tribunal que ordene a la otra Parte pagar todos los costes relacionados con el presente arbitraje, entre otros, los gastos y honorarios incurridos por la Parte en cuestión, con interés en el caso de la solicitud de la Demandada.</w:t>
      </w:r>
    </w:p>
    <w:p w14:paraId="6DD7DFF7"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El artículo 42 del Reglamento CNUDMI dispone que "[l]as costas del arbitraje serán a cargo de la parte vencida o las partes vencidas. Sin embargo, el tribunal arbitral podrá prorratear cada uno de los elementos de estas costas entre las partes si decide que el prorrateo es razonable, teniendo en cuenta las circunstancias del caso".</w:t>
      </w:r>
    </w:p>
    <w:p w14:paraId="0DB7EE49"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 xml:space="preserve">Se desprende de esta disposición que el Tribunal tiene un margen razonable de discrecionalidad en el prorrateo de las costas del arbitraje, conforme se definen en el artículo 40 del Reglamento CNUDMI. Los Demandantes no han tenido éxito y, en principio, deben asumir las costas del arbitraje; sin embargo, en opinión del Tribunal, algunas circunstancias justifican desviarse de este principio. La Demandada, a la vista del mérito de sus objeciones a la jurisdicción, podría haber solicitado razonablemente la bifurcación del </w:t>
      </w:r>
      <w:r w:rsidRPr="00AB7B88">
        <w:rPr>
          <w:rStyle w:val="Bodytext52"/>
          <w:rFonts w:ascii="Times New Roman" w:hAnsi="Times New Roman"/>
          <w:color w:val="000000"/>
          <w:sz w:val="20"/>
          <w:lang w:val="es-AR" w:eastAsia="es-ES_tradnl"/>
        </w:rPr>
        <w:lastRenderedPageBreak/>
        <w:t>procedimiento. Por otro lado, basándose en su propia admisión, los Demandantes promovieron una causa que presentaba aspectos innovadores para los cuales no encontraron precedente</w:t>
      </w:r>
      <w:r w:rsidRPr="00AB7B88">
        <w:rPr>
          <w:rStyle w:val="Bodytext52"/>
          <w:rFonts w:ascii="Times New Roman" w:hAnsi="Times New Roman"/>
          <w:color w:val="000000"/>
          <w:sz w:val="20"/>
          <w:vertAlign w:val="superscript"/>
          <w:lang w:eastAsia="es-ES_tradnl"/>
        </w:rPr>
        <w:footnoteReference w:id="372"/>
      </w:r>
      <w:r w:rsidRPr="00AB7B88">
        <w:rPr>
          <w:rStyle w:val="Bodytext52"/>
          <w:rFonts w:ascii="Times New Roman" w:hAnsi="Times New Roman"/>
          <w:color w:val="000000"/>
          <w:sz w:val="20"/>
          <w:lang w:val="es-AR" w:eastAsia="es-ES_tradnl"/>
        </w:rPr>
        <w:t xml:space="preserve"> y, a pesar de ello, iniciaron un procedimiento prolongado y costoso con perspectivas inciertas. Teniendo en cuenta estas circunstancias, el Tribunal considera que es justo que los Demandantes asuman el 70% de las costas totales del arbitraje (es decir, USD 29.066.373,26) y que la Demandada asuma el 30% restante (es decir, USD 12.457.017,11). Habida cuenta de que los costes totales de la Demandada ascienden a USD 16.554.166,37, los Demandantes deberán pagar USD 4.097.149,25 a la Demandada. En opinión del Tribunal, con esta asignación se reconoce el éxito de la Demandada al oponerse a la jurisdicción del Tribunal, y el hecho de que ambas Partes tienen cierto grado de responsabilidad por los costes que podrían haberse ahorrado de otra manera.</w:t>
      </w:r>
    </w:p>
    <w:p w14:paraId="643D1B31" w14:textId="77777777" w:rsidR="003B3957" w:rsidRPr="00AB7B88" w:rsidRDefault="003B3957" w:rsidP="00C95378">
      <w:pPr>
        <w:pStyle w:val="Bodytext30"/>
        <w:widowControl w:val="0"/>
        <w:numPr>
          <w:ilvl w:val="0"/>
          <w:numId w:val="55"/>
        </w:numPr>
        <w:shd w:val="clear" w:color="auto" w:fill="auto"/>
        <w:tabs>
          <w:tab w:val="left" w:pos="567"/>
        </w:tabs>
        <w:spacing w:before="380" w:after="0" w:line="360" w:lineRule="auto"/>
        <w:jc w:val="left"/>
        <w:rPr>
          <w:sz w:val="20"/>
        </w:rPr>
      </w:pPr>
      <w:bookmarkStart w:id="107" w:name="bookmark108"/>
      <w:bookmarkStart w:id="108" w:name="bookmark109"/>
      <w:r w:rsidRPr="00AB7B88">
        <w:rPr>
          <w:rStyle w:val="Bodytext3"/>
          <w:b/>
          <w:bCs/>
          <w:color w:val="000000"/>
          <w:sz w:val="20"/>
          <w:lang w:eastAsia="es-ES_tradnl"/>
        </w:rPr>
        <w:t>DECISIÓN</w:t>
      </w:r>
      <w:bookmarkEnd w:id="107"/>
      <w:bookmarkEnd w:id="108"/>
    </w:p>
    <w:p w14:paraId="17491B3E" w14:textId="77777777" w:rsidR="003B3957" w:rsidRPr="00AB7B88" w:rsidRDefault="003B3957" w:rsidP="009F0331">
      <w:pPr>
        <w:pStyle w:val="Bodytext1"/>
        <w:numPr>
          <w:ilvl w:val="0"/>
          <w:numId w:val="41"/>
        </w:numPr>
        <w:shd w:val="clear" w:color="auto" w:fill="auto"/>
        <w:spacing w:before="380" w:line="360" w:lineRule="auto"/>
        <w:ind w:left="522" w:hanging="522"/>
        <w:jc w:val="both"/>
        <w:rPr>
          <w:sz w:val="20"/>
          <w:lang w:val="es-AR"/>
        </w:rPr>
      </w:pPr>
      <w:r w:rsidRPr="00AB7B88">
        <w:rPr>
          <w:rStyle w:val="Bodytext52"/>
          <w:rFonts w:ascii="Times New Roman" w:hAnsi="Times New Roman"/>
          <w:color w:val="000000"/>
          <w:sz w:val="20"/>
          <w:lang w:val="es-AR" w:eastAsia="es-ES_tradnl"/>
        </w:rPr>
        <w:t>Por los motivos expuestos, el Tribunal decide:</w:t>
      </w:r>
    </w:p>
    <w:p w14:paraId="6AA6D756" w14:textId="77777777" w:rsidR="003B3957" w:rsidRPr="00AB7B88" w:rsidRDefault="003B3957" w:rsidP="00DC744D">
      <w:pPr>
        <w:pStyle w:val="Bodytext1"/>
        <w:numPr>
          <w:ilvl w:val="0"/>
          <w:numId w:val="57"/>
        </w:numPr>
        <w:shd w:val="clear" w:color="auto" w:fill="auto"/>
        <w:tabs>
          <w:tab w:val="left" w:pos="851"/>
        </w:tabs>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 xml:space="preserve">Aceptar la objeción a la jurisdicción </w:t>
      </w:r>
      <w:r w:rsidRPr="00AB7B88">
        <w:rPr>
          <w:rStyle w:val="Bodytext13125pt"/>
          <w:rFonts w:ascii="Times New Roman" w:hAnsi="Times New Roman"/>
          <w:b w:val="0"/>
          <w:bCs w:val="0"/>
          <w:smallCaps w:val="0"/>
          <w:color w:val="000000"/>
          <w:sz w:val="20"/>
          <w:lang w:val="es-AR" w:eastAsia="es-ES_tradnl"/>
        </w:rPr>
        <w:t>ratione temporis.</w:t>
      </w:r>
    </w:p>
    <w:p w14:paraId="1D9FF8D4" w14:textId="77777777" w:rsidR="003B3957" w:rsidRPr="00AB7B88" w:rsidRDefault="003B3957" w:rsidP="00DC744D">
      <w:pPr>
        <w:pStyle w:val="Bodytext1"/>
        <w:numPr>
          <w:ilvl w:val="0"/>
          <w:numId w:val="57"/>
        </w:numPr>
        <w:shd w:val="clear" w:color="auto" w:fill="auto"/>
        <w:tabs>
          <w:tab w:val="left" w:pos="851"/>
        </w:tabs>
        <w:spacing w:before="380" w:line="360" w:lineRule="auto"/>
        <w:ind w:left="522" w:firstLine="0"/>
        <w:jc w:val="both"/>
        <w:rPr>
          <w:sz w:val="20"/>
          <w:lang w:val="es-AR"/>
        </w:rPr>
      </w:pPr>
      <w:r w:rsidRPr="00AB7B88">
        <w:rPr>
          <w:rStyle w:val="Bodytext52"/>
          <w:rFonts w:ascii="Times New Roman" w:hAnsi="Times New Roman"/>
          <w:color w:val="000000"/>
          <w:sz w:val="20"/>
          <w:lang w:val="es-AR" w:eastAsia="es-ES_tradnl"/>
        </w:rPr>
        <w:t>Fijar las costas del arbitraje en USD 41.523.390,37.</w:t>
      </w:r>
    </w:p>
    <w:p w14:paraId="1D1996CA" w14:textId="77777777" w:rsidR="003B3957" w:rsidRPr="00AB7B88" w:rsidRDefault="003B3957" w:rsidP="00DC744D">
      <w:pPr>
        <w:pStyle w:val="Bodytext1"/>
        <w:numPr>
          <w:ilvl w:val="0"/>
          <w:numId w:val="57"/>
        </w:numPr>
        <w:shd w:val="clear" w:color="auto" w:fill="auto"/>
        <w:tabs>
          <w:tab w:val="left" w:pos="851"/>
        </w:tabs>
        <w:spacing w:before="380" w:line="360" w:lineRule="auto"/>
        <w:ind w:left="522" w:firstLine="0"/>
        <w:jc w:val="both"/>
        <w:rPr>
          <w:sz w:val="20"/>
        </w:rPr>
      </w:pPr>
      <w:r w:rsidRPr="00AB7B88">
        <w:rPr>
          <w:rStyle w:val="Bodytext52"/>
          <w:rFonts w:ascii="Times New Roman" w:hAnsi="Times New Roman"/>
          <w:color w:val="000000"/>
          <w:sz w:val="20"/>
          <w:lang w:val="es-AR" w:eastAsia="es-ES_tradnl"/>
        </w:rPr>
        <w:t xml:space="preserve">Que los Demandantes asuman el setenta por ciento (70%) de las costas del arbitraje (es decir, USD 29.066.373,26) y que la Demandada asuma el treinta por ciento (30%) restante (es decir, USD 12.457.017,11). En consecuencia, los Demandantes deberán pagar USD 4.097.149,25 a la Demandada. </w:t>
      </w:r>
      <w:r w:rsidRPr="00AB7B88">
        <w:rPr>
          <w:rStyle w:val="Bodytext52"/>
          <w:rFonts w:ascii="Times New Roman" w:hAnsi="Times New Roman"/>
          <w:color w:val="000000"/>
          <w:sz w:val="20"/>
          <w:lang w:eastAsia="es-ES_tradnl"/>
        </w:rPr>
        <w:t>No se pagará interés alguno sobre dicha cantidad.</w:t>
      </w:r>
    </w:p>
    <w:p w14:paraId="79BA7894" w14:textId="77777777" w:rsidR="003B3957" w:rsidRPr="00AB7B88" w:rsidRDefault="003B3957" w:rsidP="00A24222">
      <w:pPr>
        <w:pStyle w:val="Bodytext1"/>
        <w:numPr>
          <w:ilvl w:val="0"/>
          <w:numId w:val="57"/>
        </w:numPr>
        <w:shd w:val="clear" w:color="auto" w:fill="auto"/>
        <w:tabs>
          <w:tab w:val="left" w:pos="851"/>
        </w:tabs>
        <w:spacing w:before="380" w:line="360" w:lineRule="auto"/>
        <w:ind w:left="522" w:firstLine="0"/>
        <w:jc w:val="both"/>
        <w:rPr>
          <w:rStyle w:val="BodyText10"/>
          <w:u w:val="none"/>
          <w:lang w:val="es-AR"/>
        </w:rPr>
      </w:pPr>
      <w:r w:rsidRPr="00AB7B88">
        <w:rPr>
          <w:rStyle w:val="Bodytext52"/>
          <w:rFonts w:ascii="Times New Roman" w:eastAsia="Calibri" w:hAnsi="Times New Roman"/>
          <w:color w:val="000000"/>
          <w:sz w:val="20"/>
          <w:lang w:val="es-AR" w:eastAsia="es-ES_tradnl"/>
        </w:rPr>
        <w:t>Ordenar a la CPA que reembolse a la Parles el saldo no utilizado del depósito en partes iguales (es decir, USD 6.904 a cada una)</w:t>
      </w:r>
      <w:r w:rsidR="007D291E" w:rsidRPr="00AB7B88">
        <w:rPr>
          <w:rStyle w:val="Bodytext52"/>
          <w:rFonts w:ascii="Times New Roman" w:eastAsia="Calibri" w:hAnsi="Times New Roman"/>
          <w:color w:val="000000"/>
          <w:sz w:val="20"/>
          <w:lang w:val="es-AR" w:eastAsia="es-ES_tradnl"/>
        </w:rPr>
        <w:t>.</w:t>
      </w:r>
    </w:p>
    <w:sectPr w:rsidR="003B3957" w:rsidRPr="00AB7B88" w:rsidSect="006368C2">
      <w:footerReference w:type="default" r:id="rId10"/>
      <w:endnotePr>
        <w:numFmt w:val="decimal"/>
      </w:endnotePr>
      <w:type w:val="continuous"/>
      <w:pgSz w:w="12240" w:h="15840" w:code="1"/>
      <w:pgMar w:top="1584" w:right="1440" w:bottom="1584" w:left="1440" w:header="0" w:footer="720" w:gutter="0"/>
      <w:pgNumType w:fmt="numberInDash" w:start="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5B0C9" w14:textId="77777777" w:rsidR="003468CF" w:rsidRDefault="003468CF" w:rsidP="00682FB6">
      <w:r>
        <w:separator/>
      </w:r>
    </w:p>
  </w:endnote>
  <w:endnote w:type="continuationSeparator" w:id="0">
    <w:p w14:paraId="102BE931" w14:textId="77777777" w:rsidR="003468CF" w:rsidRDefault="003468CF" w:rsidP="0068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NotoSerif">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90513" w14:textId="77777777" w:rsidR="003468CF" w:rsidRPr="00216895" w:rsidRDefault="003468CF">
    <w:pPr>
      <w:pStyle w:val="Footer"/>
      <w:jc w:val="center"/>
      <w:rPr>
        <w:rFonts w:ascii="Times New Roman" w:hAnsi="Times New Roman" w:cs="Times New Roman"/>
      </w:rPr>
    </w:pPr>
    <w:r w:rsidRPr="00216895">
      <w:rPr>
        <w:rFonts w:ascii="Times New Roman" w:hAnsi="Times New Roman" w:cs="Times New Roman"/>
        <w:noProof/>
        <w:lang w:val="en-US" w:eastAsia="en-US"/>
      </w:rPr>
      <w:drawing>
        <wp:anchor distT="0" distB="0" distL="114300" distR="114300" simplePos="0" relativeHeight="251658240" behindDoc="0" locked="0" layoutInCell="1" allowOverlap="1" wp14:anchorId="62350702" wp14:editId="275AD5E8">
          <wp:simplePos x="0" y="0"/>
          <wp:positionH relativeFrom="column">
            <wp:posOffset>4715510</wp:posOffset>
          </wp:positionH>
          <wp:positionV relativeFrom="paragraph">
            <wp:posOffset>-252095</wp:posOffset>
          </wp:positionV>
          <wp:extent cx="1876425" cy="581660"/>
          <wp:effectExtent l="0" t="0" r="9525" b="8890"/>
          <wp:wrapNone/>
          <wp:docPr id="9" name="Picture 9" descr="ISLG LOGO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LG LOGO 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81660"/>
                  </a:xfrm>
                  <a:prstGeom prst="rect">
                    <a:avLst/>
                  </a:prstGeom>
                  <a:noFill/>
                  <a:ln>
                    <a:noFill/>
                  </a:ln>
                </pic:spPr>
              </pic:pic>
            </a:graphicData>
          </a:graphic>
        </wp:anchor>
      </w:drawing>
    </w:r>
    <w:r w:rsidRPr="00216895">
      <w:rPr>
        <w:rFonts w:ascii="Times New Roman" w:hAnsi="Times New Roman" w:cs="Times New Roman"/>
      </w:rPr>
      <w:fldChar w:fldCharType="begin"/>
    </w:r>
    <w:r w:rsidRPr="00216895">
      <w:rPr>
        <w:rFonts w:ascii="Times New Roman" w:hAnsi="Times New Roman" w:cs="Times New Roman"/>
      </w:rPr>
      <w:instrText xml:space="preserve"> PAGE   \* MERGEFORMAT </w:instrText>
    </w:r>
    <w:r w:rsidRPr="00216895">
      <w:rPr>
        <w:rFonts w:ascii="Times New Roman" w:hAnsi="Times New Roman" w:cs="Times New Roman"/>
      </w:rPr>
      <w:fldChar w:fldCharType="separate"/>
    </w:r>
    <w:r>
      <w:rPr>
        <w:rFonts w:ascii="Times New Roman" w:hAnsi="Times New Roman" w:cs="Times New Roman"/>
        <w:noProof/>
      </w:rPr>
      <w:t>19</w:t>
    </w:r>
    <w:r w:rsidRPr="00216895">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F578" w14:textId="77777777" w:rsidR="003468CF" w:rsidRPr="003D1293" w:rsidRDefault="003468CF">
    <w:pPr>
      <w:pStyle w:val="Footer"/>
      <w:jc w:val="center"/>
      <w:rPr>
        <w:rFonts w:ascii="Times New Roman" w:hAnsi="Times New Roman" w:cs="Times New Roman"/>
      </w:rPr>
    </w:pPr>
    <w:r>
      <w:rPr>
        <w:noProof/>
        <w:lang w:val="en-US" w:eastAsia="en-US"/>
      </w:rPr>
      <w:drawing>
        <wp:anchor distT="0" distB="0" distL="114300" distR="114300" simplePos="0" relativeHeight="251659264" behindDoc="0" locked="0" layoutInCell="1" allowOverlap="1" wp14:anchorId="62CCFA9F" wp14:editId="6CB7A1B1">
          <wp:simplePos x="0" y="0"/>
          <wp:positionH relativeFrom="column">
            <wp:posOffset>5078730</wp:posOffset>
          </wp:positionH>
          <wp:positionV relativeFrom="paragraph">
            <wp:posOffset>-203200</wp:posOffset>
          </wp:positionV>
          <wp:extent cx="1338580" cy="315595"/>
          <wp:effectExtent l="0" t="0" r="0" b="8255"/>
          <wp:wrapNone/>
          <wp:docPr id="3" name="Picture 3" descr="IS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L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8580" cy="315595"/>
                  </a:xfrm>
                  <a:prstGeom prst="rect">
                    <a:avLst/>
                  </a:prstGeom>
                  <a:noFill/>
                  <a:ln>
                    <a:noFill/>
                  </a:ln>
                </pic:spPr>
              </pic:pic>
            </a:graphicData>
          </a:graphic>
        </wp:anchor>
      </w:drawing>
    </w:r>
    <w:r w:rsidRPr="003D1293">
      <w:rPr>
        <w:rFonts w:ascii="Times New Roman" w:hAnsi="Times New Roman" w:cs="Times New Roman"/>
      </w:rPr>
      <w:fldChar w:fldCharType="begin"/>
    </w:r>
    <w:r w:rsidRPr="003D1293">
      <w:rPr>
        <w:rFonts w:ascii="Times New Roman" w:hAnsi="Times New Roman" w:cs="Times New Roman"/>
      </w:rPr>
      <w:instrText xml:space="preserve"> PAGE   \* MERGEFORMAT </w:instrText>
    </w:r>
    <w:r w:rsidRPr="003D1293">
      <w:rPr>
        <w:rFonts w:ascii="Times New Roman" w:hAnsi="Times New Roman" w:cs="Times New Roman"/>
      </w:rPr>
      <w:fldChar w:fldCharType="separate"/>
    </w:r>
    <w:r w:rsidR="005F3F7A">
      <w:rPr>
        <w:rFonts w:ascii="Times New Roman" w:hAnsi="Times New Roman" w:cs="Times New Roman"/>
        <w:noProof/>
      </w:rPr>
      <w:t>- 109 -</w:t>
    </w:r>
    <w:r w:rsidRPr="003D129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F39F9" w14:textId="77777777" w:rsidR="003468CF" w:rsidRDefault="003468CF" w:rsidP="00682FB6">
      <w:r>
        <w:separator/>
      </w:r>
    </w:p>
  </w:footnote>
  <w:footnote w:type="continuationSeparator" w:id="0">
    <w:p w14:paraId="77D265CD" w14:textId="77777777" w:rsidR="003468CF" w:rsidRDefault="003468CF" w:rsidP="00682FB6">
      <w:r>
        <w:continuationSeparator/>
      </w:r>
    </w:p>
  </w:footnote>
  <w:footnote w:id="1">
    <w:p w14:paraId="5BC2EDC6"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Demanda, párr. 7.</w:t>
      </w:r>
    </w:p>
  </w:footnote>
  <w:footnote w:id="2">
    <w:p w14:paraId="6028A31D"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Demanda, párrs. 4-6.</w:t>
      </w:r>
    </w:p>
  </w:footnote>
  <w:footnote w:id="3">
    <w:p w14:paraId="120675BE"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CB023F">
        <w:rPr>
          <w:rStyle w:val="FootnoteReference"/>
          <w:rFonts w:ascii="Times New Roman" w:hAnsi="Times New Roman"/>
          <w:b w:val="0"/>
          <w:sz w:val="18"/>
        </w:rPr>
        <w:footnoteRef/>
      </w:r>
      <w:r w:rsidRPr="00AE5C72">
        <w:rPr>
          <w:rStyle w:val="Footnote"/>
          <w:rFonts w:ascii="Times New Roman" w:hAnsi="Times New Roman"/>
          <w:sz w:val="18"/>
          <w:lang w:val="es-AR"/>
        </w:rPr>
        <w:tab/>
        <w:t>Escrito de Demanda, párr. 627.</w:t>
      </w:r>
    </w:p>
  </w:footnote>
  <w:footnote w:id="4">
    <w:p w14:paraId="1CDFA436"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Contestación (Fondo), párr. 6.</w:t>
      </w:r>
    </w:p>
  </w:footnote>
  <w:footnote w:id="5">
    <w:p w14:paraId="4AAB6935"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Contestación (Fondo), párr. 7.</w:t>
      </w:r>
    </w:p>
  </w:footnote>
  <w:footnote w:id="6">
    <w:p w14:paraId="2CEFFBEF"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Memorial (Jurisdicción), párrs. 2-7; Escrito de Contestación (Fondo), párr. 1045.</w:t>
      </w:r>
    </w:p>
  </w:footnote>
  <w:footnote w:id="7">
    <w:p w14:paraId="0DA0C5F6"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Carta de Sandra González, Ferrere, a S.E. Presidente Tabaré Vázquez, 3 de octubre de 2016 (C-0008).</w:t>
      </w:r>
    </w:p>
  </w:footnote>
  <w:footnote w:id="8">
    <w:p w14:paraId="6BD72271" w14:textId="77777777" w:rsidR="003468CF" w:rsidRPr="00AE5C72" w:rsidRDefault="003468CF" w:rsidP="00AE5C72">
      <w:pPr>
        <w:pStyle w:val="Footnote30"/>
        <w:shd w:val="clear" w:color="auto" w:fill="auto"/>
        <w:tabs>
          <w:tab w:val="left" w:pos="284"/>
        </w:tabs>
        <w:spacing w:before="180" w:line="240" w:lineRule="auto"/>
        <w:rPr>
          <w:rFonts w:ascii="Times New Roman" w:hAnsi="Times New Roman"/>
          <w:b w:val="0"/>
          <w:i w:val="0"/>
          <w:sz w:val="18"/>
          <w:lang w:val="es-AR"/>
        </w:rPr>
      </w:pPr>
      <w:r w:rsidRPr="00AE5C72">
        <w:rPr>
          <w:rStyle w:val="Footnote3NotItalic"/>
          <w:rFonts w:ascii="Times New Roman" w:hAnsi="Times New Roman"/>
          <w:color w:val="000000"/>
          <w:sz w:val="18"/>
          <w:vertAlign w:val="superscript"/>
          <w:lang w:eastAsia="es-ES_tradnl"/>
        </w:rPr>
        <w:footnoteRef/>
      </w:r>
      <w:r w:rsidRPr="00AE5C72">
        <w:rPr>
          <w:rStyle w:val="Footnote3NotItalic"/>
          <w:rFonts w:ascii="Times New Roman" w:hAnsi="Times New Roman"/>
          <w:color w:val="000000"/>
          <w:sz w:val="18"/>
          <w:lang w:val="es-AR" w:eastAsia="es-ES_tradnl"/>
        </w:rPr>
        <w:tab/>
      </w:r>
      <w:r w:rsidRPr="00AE5C72">
        <w:rPr>
          <w:rStyle w:val="Footnote3"/>
          <w:rFonts w:ascii="Times New Roman" w:hAnsi="Times New Roman"/>
          <w:i/>
          <w:color w:val="000000"/>
          <w:sz w:val="18"/>
          <w:lang w:val="es-AR" w:eastAsia="es-ES_tradnl"/>
        </w:rPr>
        <w:t>Id.</w:t>
      </w:r>
    </w:p>
  </w:footnote>
  <w:footnote w:id="9">
    <w:p w14:paraId="37512C1B" w14:textId="77777777" w:rsidR="003468CF" w:rsidRPr="00AE5C72" w:rsidRDefault="003468CF" w:rsidP="00AE5C72">
      <w:pPr>
        <w:pStyle w:val="FootnoteText"/>
        <w:tabs>
          <w:tab w:val="left" w:pos="284"/>
        </w:tabs>
        <w:spacing w:before="180"/>
        <w:rPr>
          <w:rFonts w:ascii="Times New Roman" w:hAnsi="Times New Roman"/>
          <w:sz w:val="18"/>
          <w:lang w:val="es-AR"/>
        </w:rPr>
      </w:pPr>
      <w:r w:rsidRPr="00AE5C72">
        <w:rPr>
          <w:rStyle w:val="FootnoteReference"/>
          <w:rFonts w:ascii="Times New Roman" w:hAnsi="Times New Roman" w:cs="Courier New"/>
          <w:sz w:val="18"/>
        </w:rPr>
        <w:footnoteRef/>
      </w:r>
      <w:r w:rsidRPr="00AE5C72">
        <w:rPr>
          <w:rFonts w:ascii="Times New Roman" w:hAnsi="Times New Roman"/>
          <w:i/>
          <w:sz w:val="18"/>
          <w:lang w:val="es-US"/>
        </w:rPr>
        <w:tab/>
        <w:t>Id.</w:t>
      </w:r>
    </w:p>
  </w:footnote>
  <w:footnote w:id="10">
    <w:p w14:paraId="4015E6BE"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Este borrador se distribuyó inicialmente como borrador de la Orden Procesal No. 1. Sin embargo, después de que el Tribunal emitiera la Orden Procesal No. 1, a los efectos de evitar toda duda, se modificó el número del mencionado borrador a borrador de la Orden Procesal No. 2.</w:t>
      </w:r>
    </w:p>
  </w:footnote>
  <w:footnote w:id="11">
    <w:p w14:paraId="2341E62F"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 xml:space="preserve">SNC-Lavalin, </w:t>
      </w:r>
      <w:r w:rsidRPr="00AE5C72">
        <w:rPr>
          <w:rStyle w:val="FootnoteItalic"/>
          <w:rFonts w:ascii="Times New Roman" w:hAnsi="Times New Roman"/>
          <w:bCs/>
          <w:color w:val="000000"/>
          <w:sz w:val="18"/>
          <w:lang w:val="es-AR" w:eastAsia="es-ES_tradnl"/>
        </w:rPr>
        <w:t>Valentines 18 Mtpa Magnetite Project FEL 2 Pre-Feasibility Study,</w:t>
      </w:r>
      <w:r w:rsidRPr="00AE5C72">
        <w:rPr>
          <w:rStyle w:val="Footnote"/>
          <w:rFonts w:ascii="Times New Roman" w:hAnsi="Times New Roman"/>
          <w:color w:val="000000"/>
          <w:sz w:val="18"/>
          <w:lang w:val="es-AR" w:eastAsia="es-ES_tradnl"/>
        </w:rPr>
        <w:t xml:space="preserve"> 23 de abril de 2010, sec. 1, párr. 2.3 (C-0039).</w:t>
      </w:r>
    </w:p>
  </w:footnote>
  <w:footnote w:id="12">
    <w:p w14:paraId="322866C7"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Contestación (Fondo), párr. 138; DINAMIGE, Resolución No. 071/08, 1 de febrero de 2008 (R-0066).</w:t>
      </w:r>
    </w:p>
  </w:footnote>
  <w:footnote w:id="13">
    <w:p w14:paraId="52FBA1A1"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Primera declaración testimonial de Pramod Agarwal, 29 de junio de 2018, párrs. 8-9 (CWS-1) ("Primera declaración de Agarwal"); Primera declaración testimonial de Jay Shah, 3 de julio de 2018, párr. 7 (CWS-2) ("Primera declaración de Shah").</w:t>
      </w:r>
    </w:p>
  </w:footnote>
  <w:footnote w:id="14">
    <w:p w14:paraId="1A748651"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Primera declaración de Agarwal, párrs. 40-41 (CWS-1).</w:t>
      </w:r>
    </w:p>
  </w:footnote>
  <w:footnote w:id="15">
    <w:p w14:paraId="03518954"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 xml:space="preserve">Estudio de prefactibilidad (C-0039); SNC-Lavalin, </w:t>
      </w:r>
      <w:r w:rsidRPr="00AE5C72">
        <w:rPr>
          <w:rStyle w:val="FootnoteItalic"/>
          <w:rFonts w:ascii="Times New Roman" w:hAnsi="Times New Roman"/>
          <w:bCs/>
          <w:color w:val="000000"/>
          <w:sz w:val="18"/>
          <w:lang w:val="es-AR" w:eastAsia="es-ES_tradnl"/>
        </w:rPr>
        <w:t>Valentines Iron Ore Project Deñnitive Feasibility Study Report,</w:t>
      </w:r>
      <w:r w:rsidRPr="00AE5C72">
        <w:rPr>
          <w:rStyle w:val="Footnote"/>
          <w:rFonts w:ascii="Times New Roman" w:hAnsi="Times New Roman"/>
          <w:color w:val="000000"/>
          <w:sz w:val="18"/>
          <w:lang w:val="es-AR" w:eastAsia="es-ES_tradnl"/>
        </w:rPr>
        <w:t xml:space="preserve"> 15 de julio de 2011 (C-0014).</w:t>
      </w:r>
    </w:p>
  </w:footnote>
  <w:footnote w:id="16">
    <w:p w14:paraId="6A0DFBF5"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Estudio definitivo de factibilidad, capitulo 7, págs. 2-3, 82-122 (C-0014).</w:t>
      </w:r>
    </w:p>
  </w:footnote>
  <w:footnote w:id="17">
    <w:p w14:paraId="3587D8CC"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Demanda, párr. 104; Estudio definitivo de factibilidad, capítulo 1, págs. 27-29 (C-0014).</w:t>
      </w:r>
    </w:p>
  </w:footnote>
  <w:footnote w:id="18">
    <w:p w14:paraId="3794DF14"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 xml:space="preserve">Estudio definitivo de factibilidad, capítulo 1, págs. 30-32 (C-0014). </w:t>
      </w:r>
      <w:r w:rsidRPr="00AE5C72">
        <w:rPr>
          <w:rStyle w:val="FootnoteItalic"/>
          <w:rFonts w:ascii="Times New Roman" w:hAnsi="Times New Roman"/>
          <w:bCs/>
          <w:color w:val="000000"/>
          <w:sz w:val="18"/>
          <w:lang w:val="es-AR" w:eastAsia="es-ES_tradnl"/>
        </w:rPr>
        <w:t>Véase id.</w:t>
      </w:r>
      <w:r w:rsidRPr="00AE5C72">
        <w:rPr>
          <w:rStyle w:val="Footnote"/>
          <w:rFonts w:ascii="Times New Roman" w:hAnsi="Times New Roman"/>
          <w:color w:val="000000"/>
          <w:sz w:val="18"/>
          <w:lang w:val="es-AR" w:eastAsia="es-ES_tradnl"/>
        </w:rPr>
        <w:t xml:space="preserve"> en 12, págs. 21-26.</w:t>
      </w:r>
    </w:p>
  </w:footnote>
  <w:footnote w:id="19">
    <w:p w14:paraId="653EDB5A"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Estudio definitivo de factibilidad, capítulo 12, págs. 26-29 (C-0014).</w:t>
      </w:r>
    </w:p>
  </w:footnote>
  <w:footnote w:id="20">
    <w:p w14:paraId="37720AC6"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Estudio definitivo de factibilidad, capítulo 13, págs. 3-23, 54-92 (C-0014).</w:t>
      </w:r>
    </w:p>
  </w:footnote>
  <w:footnote w:id="21">
    <w:p w14:paraId="2D142A2B"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Estudio definitivo de factibilidad, capítulo 21 (C-0014).</w:t>
      </w:r>
    </w:p>
  </w:footnote>
  <w:footnote w:id="22">
    <w:p w14:paraId="79A27E19"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Estudio definitivo de factibilidad, capítulo 1, pág. 37 (C-0014).</w:t>
      </w:r>
    </w:p>
  </w:footnote>
  <w:footnote w:id="23">
    <w:p w14:paraId="69CC740C"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Estudio definitivo de factibilidad, capítulo 1, págs. 16-17, 56, 59, capítulo 19, pág. 7, capítulo 27, pág. 1 (C-0014); Tr. audiencia, día 5, 1085:4-1086:12.</w:t>
      </w:r>
    </w:p>
  </w:footnote>
  <w:footnote w:id="24">
    <w:p w14:paraId="638CF102"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Estudio definitivo de factibilidad, capítulo 1, págs. 37, 57 (C-0014); Declaración testimonial de Malay Mukherjee, 28 de junio de 2018, párr. 17 (CWS-5).</w:t>
      </w:r>
    </w:p>
  </w:footnote>
  <w:footnote w:id="25">
    <w:p w14:paraId="3106D536"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Primera declaración de Agarwal, párrs. 58-60 (CWS-1).</w:t>
      </w:r>
    </w:p>
  </w:footnote>
  <w:footnote w:id="26">
    <w:p w14:paraId="6E2E3947"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Primera declaración de Agarwal, párrs. 61, 74 (CWS-1); Declaración testimonial de Michael Richard Holmes, 12 de junio de 2019, párr.</w:t>
      </w:r>
    </w:p>
    <w:p w14:paraId="7E584FA0" w14:textId="77777777" w:rsidR="003468CF" w:rsidRPr="000B2C28" w:rsidRDefault="003468CF" w:rsidP="00D62927">
      <w:pPr>
        <w:pStyle w:val="Footnote0"/>
        <w:shd w:val="clear" w:color="auto" w:fill="auto"/>
        <w:tabs>
          <w:tab w:val="left" w:pos="284"/>
        </w:tabs>
        <w:spacing w:before="180" w:line="240" w:lineRule="auto"/>
        <w:rPr>
          <w:rFonts w:ascii="Times New Roman" w:hAnsi="Times New Roman"/>
          <w:sz w:val="18"/>
          <w:lang w:val="es-AR"/>
        </w:rPr>
      </w:pPr>
      <w:r w:rsidRPr="000B2C28">
        <w:rPr>
          <w:rStyle w:val="Footnote"/>
          <w:rFonts w:ascii="Times New Roman" w:hAnsi="Times New Roman"/>
          <w:color w:val="000000"/>
          <w:sz w:val="18"/>
          <w:lang w:val="es-AR" w:eastAsia="es-ES_tradnl"/>
        </w:rPr>
        <w:t>18 (CWS-12); Tr. audiencia, día 5, 1073:8-1074:20.</w:t>
      </w:r>
    </w:p>
  </w:footnote>
  <w:footnote w:id="27">
    <w:p w14:paraId="1CF3B0A0"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Primera declaración de Agarwal, párr. 28 (CWS-1); Primera declaración testimonial de Roberto Kreimerman, 10 de diciembre de 2018, párr. 17 (RWS-1) ("Primera declaración de Kreimerman"); Presentación de Zamin Ferrous "Valentines, Uruguay, Proyecto de Extracción de Mineral de Hierro", 5 de agosto de 2009 (C-0306).</w:t>
      </w:r>
    </w:p>
  </w:footnote>
  <w:footnote w:id="28">
    <w:p w14:paraId="4BCBBB92"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Memorando de Entendimiento entre la República Oriental del Uruguay y ZMA del Grupo Zamin Resources - versión 6, 2010, págs. 4-7 (C-0061).</w:t>
      </w:r>
    </w:p>
  </w:footnote>
  <w:footnote w:id="29">
    <w:p w14:paraId="61E7BAE3"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 xml:space="preserve">Primera declaración testimonial de Helga Chulepin, 23 de agosto de 2017, párr. 18 (CWS-3) ("Primera declaración de Chulepin"); Primera declaración de Kreimerman, párr. 19 (RWS-1). </w:t>
      </w:r>
      <w:r w:rsidRPr="00AE5C72">
        <w:rPr>
          <w:rStyle w:val="FootnoteItalic"/>
          <w:rFonts w:ascii="Times New Roman" w:hAnsi="Times New Roman"/>
          <w:bCs/>
          <w:color w:val="000000"/>
          <w:sz w:val="18"/>
          <w:lang w:val="es-AR" w:eastAsia="es-ES_tradnl"/>
        </w:rPr>
        <w:t>El gobierno se centra en concretar "cuatro o cinco"inversiones que cambiarán el "perfil productivo",</w:t>
      </w:r>
      <w:r w:rsidRPr="00AE5C72">
        <w:rPr>
          <w:rStyle w:val="Footnote"/>
          <w:rFonts w:ascii="Times New Roman" w:hAnsi="Times New Roman"/>
          <w:color w:val="000000"/>
          <w:sz w:val="18"/>
          <w:lang w:val="es-AR" w:eastAsia="es-ES_tradnl"/>
        </w:rPr>
        <w:t xml:space="preserve"> BUSQUEDA, 3 de marzo de 2011 (C-0082).</w:t>
      </w:r>
    </w:p>
  </w:footnote>
  <w:footnote w:id="30">
    <w:p w14:paraId="11F9710E"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 xml:space="preserve">Acta de Reunión, Minera Aratirí y Secretaría de la Presidencia, 30 de mayo de 2011 (C-0081). </w:t>
      </w:r>
      <w:r w:rsidRPr="00AE5C72">
        <w:rPr>
          <w:rStyle w:val="FootnoteItalic"/>
          <w:rFonts w:ascii="Times New Roman" w:hAnsi="Times New Roman"/>
          <w:bCs/>
          <w:color w:val="000000"/>
          <w:sz w:val="18"/>
          <w:lang w:val="es-AR" w:eastAsia="es-ES_tradnl"/>
        </w:rPr>
        <w:t>Véase</w:t>
      </w:r>
      <w:r w:rsidRPr="00AE5C72">
        <w:rPr>
          <w:rStyle w:val="Footnote"/>
          <w:rFonts w:ascii="Times New Roman" w:hAnsi="Times New Roman"/>
          <w:color w:val="000000"/>
          <w:sz w:val="18"/>
          <w:lang w:val="es-AR" w:eastAsia="es-ES_tradnl"/>
        </w:rPr>
        <w:t xml:space="preserve"> República de Uruguay, Contrato de Inversión ES vE2 ROU-Grupo Zamin Ferrous (GZF), 2011 (C-0318); Borrador del Contrato de Inversión entre Minera Aratirí y el Gobierno de Uruguay, 19 de agosto de 2011 (C-0319). </w:t>
      </w:r>
      <w:r w:rsidRPr="00AE5C72">
        <w:rPr>
          <w:rStyle w:val="FootnoteItalic"/>
          <w:rFonts w:ascii="Times New Roman" w:hAnsi="Times New Roman"/>
          <w:bCs/>
          <w:color w:val="000000"/>
          <w:sz w:val="18"/>
          <w:lang w:val="es-AR" w:eastAsia="es-ES_tradnl"/>
        </w:rPr>
        <w:t>Véase también</w:t>
      </w:r>
      <w:r w:rsidRPr="00AE5C72">
        <w:rPr>
          <w:rStyle w:val="Footnote"/>
          <w:rFonts w:ascii="Times New Roman" w:hAnsi="Times New Roman"/>
          <w:color w:val="000000"/>
          <w:sz w:val="18"/>
          <w:lang w:val="es-AR" w:eastAsia="es-ES_tradnl"/>
        </w:rPr>
        <w:t xml:space="preserve"> Tr. audiencia, día 6,1223:22-1224:4,1225:18-1226:13,1229:7-1230:22,1234:3-1236:5, 1321:16-1322:6, 1326:11-22, 1328:2-18, 1342:12-1345:1.</w:t>
      </w:r>
    </w:p>
  </w:footnote>
  <w:footnote w:id="31">
    <w:p w14:paraId="2972F0B7"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 xml:space="preserve">Presidencia de la República Oriental del Uruguay, </w:t>
      </w:r>
      <w:r w:rsidRPr="00AE5C72">
        <w:rPr>
          <w:rStyle w:val="FootnoteItalic"/>
          <w:rFonts w:ascii="Times New Roman" w:hAnsi="Times New Roman"/>
          <w:bCs/>
          <w:color w:val="000000"/>
          <w:sz w:val="18"/>
          <w:lang w:val="es-AR" w:eastAsia="es-ES_tradnl"/>
        </w:rPr>
        <w:t>Reglas establecidas pornuevo Código deMinería regirán proyecto deAratirí,</w:t>
      </w:r>
      <w:r w:rsidRPr="00AE5C72">
        <w:rPr>
          <w:rStyle w:val="Footnote"/>
          <w:rFonts w:ascii="Times New Roman" w:hAnsi="Times New Roman"/>
          <w:color w:val="000000"/>
          <w:sz w:val="18"/>
          <w:lang w:val="es-AR" w:eastAsia="es-ES_tradnl"/>
        </w:rPr>
        <w:t xml:space="preserve"> 28 de julio de 2011 (C-0083); Presidencia de la República Oriental del Uruguay, </w:t>
      </w:r>
      <w:r w:rsidRPr="00AE5C72">
        <w:rPr>
          <w:rStyle w:val="FootnoteItalic"/>
          <w:rFonts w:ascii="Times New Roman" w:hAnsi="Times New Roman"/>
          <w:bCs/>
          <w:color w:val="000000"/>
          <w:sz w:val="18"/>
          <w:lang w:val="es-AR" w:eastAsia="es-ES_tradnl"/>
        </w:rPr>
        <w:t>Presidencia cuestiona incertidumbregenerada desde el sistema político,</w:t>
      </w:r>
      <w:r w:rsidRPr="00AE5C72">
        <w:rPr>
          <w:rStyle w:val="Footnote"/>
          <w:rFonts w:ascii="Times New Roman" w:hAnsi="Times New Roman"/>
          <w:color w:val="000000"/>
          <w:sz w:val="18"/>
          <w:lang w:val="es-AR" w:eastAsia="es-ES_tradnl"/>
        </w:rPr>
        <w:t xml:space="preserve"> 2 de agosto de 2011 (C-0084). El ministro Kreimerman analiza el aumento de la tensión política en esta fase de las negociaciones. </w:t>
      </w:r>
      <w:r w:rsidRPr="00AE5C72">
        <w:rPr>
          <w:rStyle w:val="FootnoteItalic"/>
          <w:rFonts w:ascii="Times New Roman" w:hAnsi="Times New Roman"/>
          <w:bCs/>
          <w:color w:val="000000"/>
          <w:sz w:val="18"/>
          <w:lang w:val="es-AR" w:eastAsia="es-ES_tradnl"/>
        </w:rPr>
        <w:t>Véase</w:t>
      </w:r>
      <w:r w:rsidRPr="00AE5C72">
        <w:rPr>
          <w:rStyle w:val="Footnote"/>
          <w:rFonts w:ascii="Times New Roman" w:hAnsi="Times New Roman"/>
          <w:color w:val="000000"/>
          <w:sz w:val="18"/>
          <w:lang w:val="es-AR" w:eastAsia="es-ES_tradnl"/>
        </w:rPr>
        <w:t xml:space="preserve"> Primera declaración de Kreimerman, párrs. 31-35 (RWS-1).</w:t>
      </w:r>
    </w:p>
  </w:footnote>
  <w:footnote w:id="32">
    <w:p w14:paraId="39897306"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Contestación (Fondo), párrs. 372-375; Primera declaración de Kreimerman, párr. 25 (RWS-1); Primera declaración testimonial de Andrés Masoller, 5 de diciembre de 2018, párr. 15 (RWS-7).</w:t>
      </w:r>
    </w:p>
  </w:footnote>
  <w:footnote w:id="33">
    <w:p w14:paraId="690E7F26"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Demanda, párrs. 215-216.</w:t>
      </w:r>
    </w:p>
  </w:footnote>
  <w:footnote w:id="34">
    <w:p w14:paraId="6C30CA11"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Tr. audiencia, día 5, 977:11-18.</w:t>
      </w:r>
    </w:p>
  </w:footnote>
  <w:footnote w:id="35">
    <w:p w14:paraId="26C4D248"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Demanda, párr. 34; Escrito de Contestación (Fondo), párrs. 89, 92, 96, 100.</w:t>
      </w:r>
    </w:p>
  </w:footnote>
  <w:footnote w:id="36">
    <w:p w14:paraId="67C3E168"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Demanda, párr. 325.</w:t>
      </w:r>
    </w:p>
  </w:footnote>
  <w:footnote w:id="37">
    <w:p w14:paraId="60AB3709"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Demanda, párr. 326.</w:t>
      </w:r>
    </w:p>
  </w:footnote>
  <w:footnote w:id="38">
    <w:p w14:paraId="236B2F76"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Contestación (Fondo), párr. 7.</w:t>
      </w:r>
    </w:p>
  </w:footnote>
  <w:footnote w:id="39">
    <w:p w14:paraId="62087784"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Solicitudes de Concesión para Explotar de Minera Aratirí y Filiales, 2010-2012, págs. 1-13 (R-0092).</w:t>
      </w:r>
    </w:p>
  </w:footnote>
  <w:footnote w:id="40">
    <w:p w14:paraId="79DDDEE3"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Carta de Solicitud de Concesión de Explotación, 3 de octubre de 2011 (C-0085).</w:t>
      </w:r>
    </w:p>
  </w:footnote>
  <w:footnote w:id="41">
    <w:p w14:paraId="4FBCA5CC" w14:textId="77777777" w:rsidR="003468CF" w:rsidRPr="00AE5C72" w:rsidRDefault="003468CF" w:rsidP="00AE5C72">
      <w:pPr>
        <w:pStyle w:val="Footnote30"/>
        <w:shd w:val="clear" w:color="auto" w:fill="auto"/>
        <w:tabs>
          <w:tab w:val="left" w:pos="284"/>
        </w:tabs>
        <w:spacing w:before="180" w:line="240" w:lineRule="auto"/>
        <w:rPr>
          <w:rFonts w:ascii="Times New Roman" w:hAnsi="Times New Roman"/>
          <w:b w:val="0"/>
          <w:sz w:val="18"/>
          <w:lang w:val="es-AR"/>
        </w:rPr>
      </w:pPr>
      <w:r w:rsidRPr="00AE5C72">
        <w:rPr>
          <w:rStyle w:val="Footnote3NotItalic"/>
          <w:rFonts w:ascii="Times New Roman" w:hAnsi="Times New Roman"/>
          <w:color w:val="000000"/>
          <w:sz w:val="18"/>
          <w:vertAlign w:val="superscript"/>
          <w:lang w:eastAsia="es-ES_tradnl"/>
        </w:rPr>
        <w:footnoteRef/>
      </w:r>
      <w:r w:rsidRPr="00AE5C72">
        <w:rPr>
          <w:rStyle w:val="Footnote3NotItalic"/>
          <w:rFonts w:ascii="Times New Roman" w:hAnsi="Times New Roman"/>
          <w:color w:val="000000"/>
          <w:sz w:val="18"/>
          <w:lang w:val="es-AR" w:eastAsia="es-ES_tradnl"/>
        </w:rPr>
        <w:tab/>
      </w:r>
      <w:r w:rsidRPr="00AE5C72">
        <w:rPr>
          <w:rStyle w:val="Footnote3"/>
          <w:rFonts w:ascii="Times New Roman" w:hAnsi="Times New Roman"/>
          <w:color w:val="000000"/>
          <w:sz w:val="18"/>
          <w:lang w:val="es-AR" w:eastAsia="es-ES_tradnl"/>
        </w:rPr>
        <w:t>Id.</w:t>
      </w:r>
    </w:p>
  </w:footnote>
  <w:footnote w:id="42">
    <w:p w14:paraId="13315C5A"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Réplica (Fondo), párrs. 223-224, 263; Segunda declaración testimonial de Helga Chulepin, 11 de junio de 2019, párr. 45 (CWS-10); Escrito de Contestación (Fondo), párrs. 160-163; Duplica (Fondo), párrs. 130, 133, 145; Primera declaración testimonial de Raquel Piaggio, 11 de diciembre de 2018, párrs. 14, 26 (RWS-3) ("Primera declaración de Piaggio").</w:t>
      </w:r>
    </w:p>
  </w:footnote>
  <w:footnote w:id="43">
    <w:p w14:paraId="67B0A8FB"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Carta de Solicitud de Concesión de Explotación, 3 de octubre de 2011 (C-0085).</w:t>
      </w:r>
    </w:p>
  </w:footnote>
  <w:footnote w:id="44">
    <w:p w14:paraId="7F4F9F8A"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r>
      <w:r w:rsidRPr="00AE5C72">
        <w:rPr>
          <w:rStyle w:val="FootnoteItalic"/>
          <w:rFonts w:ascii="Times New Roman" w:hAnsi="Times New Roman"/>
          <w:bCs/>
          <w:color w:val="000000"/>
          <w:sz w:val="18"/>
          <w:lang w:val="es-AR" w:eastAsia="es-ES_tradnl"/>
        </w:rPr>
        <w:t>Véase</w:t>
      </w:r>
      <w:r w:rsidRPr="00AE5C72">
        <w:rPr>
          <w:rStyle w:val="Footnote"/>
          <w:rFonts w:ascii="Times New Roman" w:hAnsi="Times New Roman"/>
          <w:color w:val="000000"/>
          <w:sz w:val="18"/>
          <w:lang w:val="es-AR" w:eastAsia="es-ES_tradnl"/>
        </w:rPr>
        <w:t xml:space="preserve"> Primera declaración testimonial de Néstor Campal, 11 de diciembre de 2018, párrs. 27-29 (RWS-8) ("Primera declaración de Campal"); Informe pericial de Felipe Puig, 10 de junio de 2019, párrs. 68, 71-72 (CER-8).</w:t>
      </w:r>
    </w:p>
  </w:footnote>
  <w:footnote w:id="45">
    <w:p w14:paraId="2CA862BA"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Comisión Multipartidaria de Análisis de la Minería de Gran Porte, 22 de diciembre de 2011 (C-0143); Primera declaración de Piaggio, párr. 35 (RWS-3); Primer informe pericial de Jorge Fernández Reyes, 5 de diciembre de 2018, párrs. 448-449 (RER-3) ("Primer informe de Fernández Reyes").</w:t>
      </w:r>
    </w:p>
  </w:footnote>
  <w:footnote w:id="46">
    <w:p w14:paraId="52E03B22"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Ley No. 19.126, Minería de Gran Porte, 11 de septiembre de 2013 (C-0151); Escrito de Demanda, párr. 348; Escrito de Contestación (Fondo), párr. 245.</w:t>
      </w:r>
    </w:p>
  </w:footnote>
  <w:footnote w:id="47">
    <w:p w14:paraId="7F495EB7"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Ley de Minería de Gran Porte, arts. 1-2 (C-0151).</w:t>
      </w:r>
    </w:p>
  </w:footnote>
  <w:footnote w:id="48">
    <w:p w14:paraId="3CC38ABE"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Solicitud de concesión de explotación de minería de gran porte, 22 de noviembre de 2013 (C-0154); Primera declaración de Campal, párr. 29 (RWS-8).</w:t>
      </w:r>
    </w:p>
  </w:footnote>
  <w:footnote w:id="49">
    <w:p w14:paraId="34AE6308"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Ley de Minería de Gran Porte, arts. 23, 24(A) (C-0151); Primer informe pericial de Carlos E. Delpiazzo, 21 de junio de 2018, párrs. 102-103 (CER-1) ("Primer informe de Delpiazzo"); Primer informe de Fernández Reyes, párrs. 382-383 (RER-3).</w:t>
      </w:r>
    </w:p>
  </w:footnote>
  <w:footnote w:id="50">
    <w:p w14:paraId="2119F2BD"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r>
      <w:r w:rsidRPr="00AE5C72">
        <w:rPr>
          <w:rStyle w:val="FootnoteItalic"/>
          <w:rFonts w:ascii="Times New Roman" w:hAnsi="Times New Roman"/>
          <w:bCs/>
          <w:color w:val="000000"/>
          <w:sz w:val="18"/>
          <w:lang w:val="es-AR" w:eastAsia="es-ES_tradnl"/>
        </w:rPr>
        <w:t>Véase</w:t>
      </w:r>
      <w:r w:rsidRPr="00AE5C72">
        <w:rPr>
          <w:rStyle w:val="Footnote"/>
          <w:rFonts w:ascii="Times New Roman" w:hAnsi="Times New Roman"/>
          <w:color w:val="000000"/>
          <w:sz w:val="18"/>
          <w:lang w:val="es-AR" w:eastAsia="es-ES_tradnl"/>
        </w:rPr>
        <w:t xml:space="preserve"> Primera declaración de Piaggio, párrs. 41-43 (RWS-3); Borrador del Contrato de Concesión de Minería de Gran Porte, julio- septiembre de 2013 (R-0117); Borrador del Contrato de Concesión de Minería de Gran Porte, 19 de agosto de 2013 (R-0264); Borrador de Contrato de Concesión de Minería de Gran Porte, 16 de octubre de 2013 (C-0152).</w:t>
      </w:r>
    </w:p>
  </w:footnote>
  <w:footnote w:id="51">
    <w:p w14:paraId="7B82056A"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Resolución del Poder Ejecutivo No. 697/014, 27 de noviembre de 2014 (SPC-093); Ley No. 19.318, 20 de febrero de 2015, art. 1 (C-0165); Resolución del Poder Ejecutivo No. 697/2014 en la redacción dada por la Resolución No. 154/015, 27 de febrero de 2015 (SPC-094).</w:t>
      </w:r>
    </w:p>
  </w:footnote>
  <w:footnote w:id="52">
    <w:p w14:paraId="46169BA8"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Ley de Minería de Gran Porte, arts. 18, 27 (C-0151); Primer informe de Fernández Reyes, párrs. 404-407 (RER-3).</w:t>
      </w:r>
    </w:p>
  </w:footnote>
  <w:footnote w:id="53">
    <w:p w14:paraId="6C5E6873"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Acta de Reunión en mensaje de correo electrónico de H. Chulepin a A. Deora &amp; J. Shah, 19 de agosto de 2015 (C-0178); Mensaje de correo electrónico de J. Shah a P. Agarwal &amp; A. Deora, 19 de agosto de 2015 (C-0176).</w:t>
      </w:r>
    </w:p>
  </w:footnote>
  <w:footnote w:id="54">
    <w:p w14:paraId="7CD9FD9B"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Demanda, párr. 398; Escrito de Contestación (Fondo), párr. 312; Primera declaración de Agarwal, párr. 119 (CWS-1); Primera declaración de Chulepin, párr. 107 (CWS-3).</w:t>
      </w:r>
    </w:p>
  </w:footnote>
  <w:footnote w:id="55">
    <w:p w14:paraId="51E330FF"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Resolución No. 885/15, 17 de diciembre de 2015, pág. 2 (C-0191); Primera declaración de Chulepin, párr. 116 (CWS-3).</w:t>
      </w:r>
    </w:p>
  </w:footnote>
  <w:footnote w:id="56">
    <w:p w14:paraId="13DB9310"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Ley de Minería de Gran Porte, art. 24(c) (C-0151).</w:t>
      </w:r>
    </w:p>
  </w:footnote>
  <w:footnote w:id="57">
    <w:p w14:paraId="69A579EB"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Carta de P. Agarwal (Zamin) a S.E. T. Vázquez, 15 de marzo de 2016 (C-0194).</w:t>
      </w:r>
    </w:p>
  </w:footnote>
  <w:footnote w:id="58">
    <w:p w14:paraId="0C43138D"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Resolución No. 667/016, Declárese que ha vencido el plazo de 120 días en relación al Proyecto Valentines y otórgase nuevo plazo de 180 días, 4 de octubre de 2016, Considerandos X-XI (C-0202); Segundo informe pericial de Santiago Pereira Campos, 5 de noviembre de 2019, párr. 216(i) (RER-12).</w:t>
      </w:r>
    </w:p>
  </w:footnote>
  <w:footnote w:id="59">
    <w:p w14:paraId="0451C046"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Resolución No. 667/016, considerandos VI-VIII, XVIII-XIX (C-0202).</w:t>
      </w:r>
    </w:p>
  </w:footnote>
  <w:footnote w:id="60">
    <w:p w14:paraId="4F49EBCF"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MIEM, Resolución No. 180/2017, 30 de octubre de 2017 (R-0188).</w:t>
      </w:r>
    </w:p>
  </w:footnote>
  <w:footnote w:id="61">
    <w:p w14:paraId="61E84EBF"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Código de Minería Modificado, 16 de febrero de 1982, arts. 7, 52-53 (C-0236).</w:t>
      </w:r>
    </w:p>
  </w:footnote>
  <w:footnote w:id="62">
    <w:p w14:paraId="2821DA77"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Resolución No. 667/016 (C-0202).</w:t>
      </w:r>
    </w:p>
  </w:footnote>
  <w:footnote w:id="63">
    <w:p w14:paraId="35C6E258"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Ley de Minería de Gran Porte, art. 37 (C-0151). Las Partes difieren sobre si esta disposición es beneficiosa para el Estado o para las empresas mineras. Escrito de Demanda, párr. 420; Réplica (Fondo), párrs. 191, 630; Escrito de Contestación (Fondo), párr. 333; Dúplica (Fondo), párrs. 394-395; Segundo informe pericial de Jorge Fernández Reyes, 8 de noviembre de 2019, párrs. 143-145 (RER-11).</w:t>
      </w:r>
    </w:p>
  </w:footnote>
  <w:footnote w:id="64">
    <w:p w14:paraId="29E61F04"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Demanda, párr. 421; Escrito de Contestación (Fondo), párrs. 335-336; Dúplica (Fondo), párr. 396; Segunda declaración testimonial de Fernanda Cardona, 19 de noviembre de 2019, párr. 26 (RWS-10) ("Segunda declaración de Cardona").</w:t>
      </w:r>
    </w:p>
  </w:footnote>
  <w:footnote w:id="65">
    <w:p w14:paraId="7C409625"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Demanda, párrs. 420-422; Réplica (Fondo), párrs. 628-629; Informe Técnico de la Dra. María N</w:t>
      </w:r>
      <w:r>
        <w:rPr>
          <w:rStyle w:val="Footnote"/>
          <w:rFonts w:ascii="Times New Roman" w:hAnsi="Times New Roman"/>
          <w:color w:val="000000"/>
          <w:sz w:val="18"/>
          <w:lang w:val="es-AR" w:eastAsia="es-ES_tradnl"/>
        </w:rPr>
        <w:t>oel Morales Boezio, pág. 9 [81/</w:t>
      </w:r>
      <w:r w:rsidRPr="00AE5C72">
        <w:rPr>
          <w:rStyle w:val="Footnote"/>
          <w:rFonts w:ascii="Times New Roman" w:hAnsi="Times New Roman"/>
          <w:color w:val="000000"/>
          <w:sz w:val="18"/>
          <w:lang w:val="es-AR" w:eastAsia="es-ES_tradnl"/>
        </w:rPr>
        <w:t xml:space="preserve">170], presentado en </w:t>
      </w:r>
      <w:r w:rsidRPr="00AE5C72">
        <w:rPr>
          <w:rStyle w:val="FootnoteItalic"/>
          <w:rFonts w:ascii="Times New Roman" w:hAnsi="Times New Roman"/>
          <w:bCs/>
          <w:color w:val="000000"/>
          <w:sz w:val="18"/>
          <w:lang w:val="es-AR" w:eastAsia="es-ES_tradnl"/>
        </w:rPr>
        <w:t>Bachetta Grezzi</w:t>
      </w:r>
      <w:r>
        <w:rPr>
          <w:rStyle w:val="FootnoteItalic"/>
          <w:rFonts w:ascii="Times New Roman" w:hAnsi="Times New Roman"/>
          <w:bCs/>
          <w:color w:val="000000"/>
          <w:sz w:val="18"/>
          <w:lang w:val="es-AR" w:eastAsia="es-ES_tradnl"/>
        </w:rPr>
        <w:t xml:space="preserve"> </w:t>
      </w:r>
      <w:r w:rsidRPr="00AE5C72">
        <w:rPr>
          <w:rStyle w:val="FootnoteItalic"/>
          <w:rFonts w:ascii="Times New Roman" w:hAnsi="Times New Roman"/>
          <w:bCs/>
          <w:color w:val="000000"/>
          <w:sz w:val="18"/>
          <w:lang w:val="es-AR" w:eastAsia="es-ES_tradnl"/>
        </w:rPr>
        <w:t>c. Ministerio de Industria, Energía y Minería,</w:t>
      </w:r>
      <w:r w:rsidRPr="00AE5C72">
        <w:rPr>
          <w:rStyle w:val="Footnote"/>
          <w:rFonts w:ascii="Times New Roman" w:hAnsi="Times New Roman"/>
          <w:color w:val="000000"/>
          <w:sz w:val="18"/>
          <w:lang w:val="es-AR" w:eastAsia="es-ES_tradnl"/>
        </w:rPr>
        <w:t xml:space="preserve"> Acción de Acceso a la Información Pública, IUE No.: 2-050654/2014, pág. 709 [81/170] del expediente, 25 de febrero de 2016 (C-0025); Solicitud presentada por el Ministerio de Industria, Energía y Minería en el caso </w:t>
      </w:r>
      <w:r w:rsidRPr="00AE5C72">
        <w:rPr>
          <w:rStyle w:val="FootnoteItalic"/>
          <w:rFonts w:ascii="Times New Roman" w:hAnsi="Times New Roman"/>
          <w:bCs/>
          <w:color w:val="000000"/>
          <w:sz w:val="18"/>
          <w:lang w:val="es-AR" w:eastAsia="es-ES_tradnl"/>
        </w:rPr>
        <w:t>Aguirre, Néstory otros c. Minera Aratirí</w:t>
      </w:r>
      <w:r>
        <w:rPr>
          <w:rStyle w:val="FootnoteItalic"/>
          <w:rFonts w:ascii="Times New Roman" w:hAnsi="Times New Roman"/>
          <w:bCs/>
          <w:color w:val="000000"/>
          <w:sz w:val="18"/>
          <w:lang w:val="es-AR" w:eastAsia="es-ES_tradnl"/>
        </w:rPr>
        <w:t xml:space="preserve"> </w:t>
      </w:r>
      <w:r w:rsidRPr="00AE5C72">
        <w:rPr>
          <w:rStyle w:val="FootnoteItalic"/>
          <w:rFonts w:ascii="Times New Roman" w:hAnsi="Times New Roman"/>
          <w:bCs/>
          <w:color w:val="000000"/>
          <w:sz w:val="18"/>
          <w:lang w:val="es-AR" w:eastAsia="es-ES_tradnl"/>
        </w:rPr>
        <w:t>S.A. Proceso de ejecución</w:t>
      </w:r>
      <w:r w:rsidRPr="00AE5C72">
        <w:rPr>
          <w:rStyle w:val="Footnote"/>
          <w:rFonts w:ascii="Times New Roman" w:hAnsi="Times New Roman"/>
          <w:color w:val="000000"/>
          <w:sz w:val="18"/>
          <w:lang w:val="es-AR" w:eastAsia="es-ES_tradnl"/>
        </w:rPr>
        <w:t xml:space="preserve"> (IUE: 515-8/2016), ante el Juzgado Letrado del Trabajo de 16° Tumo, 26 de junio de 2017 (C-0204); </w:t>
      </w:r>
      <w:r w:rsidRPr="00AE5C72">
        <w:rPr>
          <w:rStyle w:val="FootnoteItalic"/>
          <w:rFonts w:ascii="Times New Roman" w:hAnsi="Times New Roman"/>
          <w:bCs/>
          <w:color w:val="000000"/>
          <w:sz w:val="18"/>
          <w:lang w:val="es-AR" w:eastAsia="es-ES_tradnl"/>
        </w:rPr>
        <w:t>Mujica: "Si</w:t>
      </w:r>
      <w:r>
        <w:rPr>
          <w:rStyle w:val="FootnoteItalic"/>
          <w:rFonts w:ascii="Times New Roman" w:hAnsi="Times New Roman"/>
          <w:bCs/>
          <w:color w:val="000000"/>
          <w:sz w:val="18"/>
          <w:lang w:val="es-AR" w:eastAsia="es-ES_tradnl"/>
        </w:rPr>
        <w:t xml:space="preserve"> </w:t>
      </w:r>
      <w:r w:rsidRPr="00AE5C72">
        <w:rPr>
          <w:rStyle w:val="FootnoteItalic"/>
          <w:rFonts w:ascii="Times New Roman" w:hAnsi="Times New Roman"/>
          <w:bCs/>
          <w:color w:val="000000"/>
          <w:sz w:val="18"/>
          <w:lang w:val="es-AR" w:eastAsia="es-ES_tradnl"/>
        </w:rPr>
        <w:t>no negociamos con Aratirí nos exponemos a un juicio internacional",</w:t>
      </w:r>
      <w:r w:rsidRPr="00AE5C72">
        <w:rPr>
          <w:rStyle w:val="Footnote"/>
          <w:rFonts w:ascii="Times New Roman" w:hAnsi="Times New Roman"/>
          <w:color w:val="000000"/>
          <w:sz w:val="18"/>
          <w:lang w:val="es-AR" w:eastAsia="es-ES_tradnl"/>
        </w:rPr>
        <w:t xml:space="preserve"> 5 de febrero de 2015 (C-0166).</w:t>
      </w:r>
    </w:p>
  </w:footnote>
  <w:footnote w:id="66">
    <w:p w14:paraId="54CD0466"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Dúplica (Fondo), párrs. 393-396; Segunda declaración de Cardona, párrs. 27-28 (RWS-10); Segunda declaración testimonial de Néstor Campal, 19 de noviembre de 2019, párrs. 28, 33 (RWS-16).</w:t>
      </w:r>
    </w:p>
  </w:footnote>
  <w:footnote w:id="67">
    <w:p w14:paraId="582E99BD"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Minera Aratirí, Nota de Solicitud, 29 de diciembre de 2011 (C-0231).</w:t>
      </w:r>
    </w:p>
  </w:footnote>
  <w:footnote w:id="68">
    <w:p w14:paraId="0ECCDBF4" w14:textId="77777777" w:rsidR="003468CF" w:rsidRPr="00AE5C72" w:rsidRDefault="003468CF" w:rsidP="00AE5C72">
      <w:pPr>
        <w:pStyle w:val="Footnote30"/>
        <w:shd w:val="clear" w:color="auto" w:fill="auto"/>
        <w:tabs>
          <w:tab w:val="left" w:pos="284"/>
        </w:tabs>
        <w:spacing w:before="180" w:line="240" w:lineRule="auto"/>
        <w:rPr>
          <w:rFonts w:ascii="Times New Roman" w:hAnsi="Times New Roman"/>
          <w:b w:val="0"/>
          <w:sz w:val="18"/>
          <w:lang w:val="es-AR"/>
        </w:rPr>
      </w:pPr>
      <w:r w:rsidRPr="00AE5C72">
        <w:rPr>
          <w:rStyle w:val="Footnote3NotItalic"/>
          <w:rFonts w:ascii="Times New Roman" w:hAnsi="Times New Roman"/>
          <w:color w:val="000000"/>
          <w:sz w:val="18"/>
          <w:vertAlign w:val="superscript"/>
          <w:lang w:eastAsia="es-ES_tradnl"/>
        </w:rPr>
        <w:footnoteRef/>
      </w:r>
      <w:r w:rsidRPr="00AE5C72">
        <w:rPr>
          <w:rStyle w:val="Footnote3NotItalic"/>
          <w:rFonts w:ascii="Times New Roman" w:hAnsi="Times New Roman"/>
          <w:color w:val="000000"/>
          <w:sz w:val="18"/>
          <w:lang w:val="es-AR" w:eastAsia="es-ES_tradnl"/>
        </w:rPr>
        <w:tab/>
        <w:t xml:space="preserve">MIEM, </w:t>
      </w:r>
      <w:r w:rsidRPr="001F2FD9">
        <w:rPr>
          <w:rStyle w:val="Footnote3"/>
          <w:rFonts w:ascii="Times New Roman" w:hAnsi="Times New Roman"/>
          <w:i/>
          <w:color w:val="000000"/>
          <w:sz w:val="18"/>
          <w:lang w:val="es-AR" w:eastAsia="es-ES_tradnl"/>
        </w:rPr>
        <w:t>Análisis de la solicitud de declaratoria promocional de Minera Aratirí S.A.,</w:t>
      </w:r>
      <w:r w:rsidRPr="00AE5C72">
        <w:rPr>
          <w:rStyle w:val="Footnote3NotItalic"/>
          <w:rFonts w:ascii="Times New Roman" w:hAnsi="Times New Roman"/>
          <w:color w:val="000000"/>
          <w:sz w:val="18"/>
          <w:lang w:val="es-AR" w:eastAsia="es-ES_tradnl"/>
        </w:rPr>
        <w:t xml:space="preserve"> 15 de marzo de 2012, pág. 2 (R-0098).</w:t>
      </w:r>
    </w:p>
  </w:footnote>
  <w:footnote w:id="69">
    <w:p w14:paraId="641ECF85"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Resolución del Ministro de Economía y Finanzas y el Ministro de Industria, Energía y Minería, 27 de marzo de 2012, págs. 1-2 (C-0123).</w:t>
      </w:r>
    </w:p>
  </w:footnote>
  <w:footnote w:id="70">
    <w:p w14:paraId="0D0BFDC8" w14:textId="77777777" w:rsidR="003468CF" w:rsidRPr="00AE5C72" w:rsidRDefault="003468CF" w:rsidP="00AE5C72">
      <w:pPr>
        <w:pStyle w:val="Footnote30"/>
        <w:shd w:val="clear" w:color="auto" w:fill="auto"/>
        <w:tabs>
          <w:tab w:val="left" w:pos="284"/>
        </w:tabs>
        <w:spacing w:before="180" w:line="240" w:lineRule="auto"/>
        <w:rPr>
          <w:rFonts w:ascii="Times New Roman" w:hAnsi="Times New Roman"/>
          <w:b w:val="0"/>
          <w:sz w:val="18"/>
          <w:lang w:val="es-AR"/>
        </w:rPr>
      </w:pPr>
      <w:r w:rsidRPr="00AE5C72">
        <w:rPr>
          <w:rStyle w:val="Footnote3NotItalic"/>
          <w:rFonts w:ascii="Times New Roman" w:hAnsi="Times New Roman"/>
          <w:color w:val="000000"/>
          <w:sz w:val="18"/>
          <w:vertAlign w:val="superscript"/>
          <w:lang w:eastAsia="es-ES_tradnl"/>
        </w:rPr>
        <w:footnoteRef/>
      </w:r>
      <w:r w:rsidRPr="00AE5C72">
        <w:rPr>
          <w:rStyle w:val="Footnote3NotItalic"/>
          <w:rFonts w:ascii="Times New Roman" w:hAnsi="Times New Roman"/>
          <w:color w:val="000000"/>
          <w:sz w:val="18"/>
          <w:lang w:val="es-AR" w:eastAsia="es-ES_tradnl"/>
        </w:rPr>
        <w:tab/>
        <w:t xml:space="preserve">MIEM, </w:t>
      </w:r>
      <w:r w:rsidRPr="003C31F0">
        <w:rPr>
          <w:rStyle w:val="Footnote3"/>
          <w:rFonts w:ascii="Times New Roman" w:hAnsi="Times New Roman"/>
          <w:i/>
          <w:color w:val="000000"/>
          <w:sz w:val="18"/>
          <w:lang w:val="es-AR" w:eastAsia="es-ES_tradnl"/>
        </w:rPr>
        <w:t>Análisis de la solicitud de declaratoria promocional de Minera Aratirí</w:t>
      </w:r>
      <w:r>
        <w:rPr>
          <w:rStyle w:val="Footnote3"/>
          <w:rFonts w:ascii="Times New Roman" w:hAnsi="Times New Roman"/>
          <w:color w:val="000000"/>
          <w:sz w:val="18"/>
          <w:lang w:val="es-AR" w:eastAsia="es-ES_tradnl"/>
        </w:rPr>
        <w:t xml:space="preserve"> </w:t>
      </w:r>
      <w:r w:rsidRPr="00AE5C72">
        <w:rPr>
          <w:rStyle w:val="Footnote3"/>
          <w:rFonts w:ascii="Times New Roman" w:hAnsi="Times New Roman"/>
          <w:color w:val="000000"/>
          <w:sz w:val="18"/>
          <w:lang w:val="es-AR" w:eastAsia="es-ES_tradnl"/>
        </w:rPr>
        <w:t>S.A.,</w:t>
      </w:r>
      <w:r w:rsidRPr="00AE5C72">
        <w:rPr>
          <w:rStyle w:val="Footnote3NotItalic"/>
          <w:rFonts w:ascii="Times New Roman" w:hAnsi="Times New Roman"/>
          <w:color w:val="000000"/>
          <w:sz w:val="18"/>
          <w:lang w:val="es-AR" w:eastAsia="es-ES_tradnl"/>
        </w:rPr>
        <w:t xml:space="preserve"> 15 de marzo de 2012, pág. 2 (R-0098).</w:t>
      </w:r>
    </w:p>
  </w:footnote>
  <w:footnote w:id="71">
    <w:p w14:paraId="20139AAE"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Tribunal de lo Contencioso Administrativo, Sentencia No. 63, 5 de febrero de 2015, págs. 9-20 (R-0152).</w:t>
      </w:r>
    </w:p>
  </w:footnote>
  <w:footnote w:id="72">
    <w:p w14:paraId="2B21C174"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Decreto No. 477/008, Promoción y Protección de Inversiones, 7 de octubre de 2008 (C-0022).</w:t>
      </w:r>
    </w:p>
  </w:footnote>
  <w:footnote w:id="73">
    <w:p w14:paraId="49075A7A"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r>
      <w:r w:rsidRPr="00AE5C72">
        <w:rPr>
          <w:rStyle w:val="FootnoteItalic"/>
          <w:rFonts w:ascii="Times New Roman" w:hAnsi="Times New Roman"/>
          <w:bCs/>
          <w:color w:val="000000"/>
          <w:sz w:val="18"/>
          <w:lang w:val="es-AR" w:eastAsia="es-ES_tradnl"/>
        </w:rPr>
        <w:t>Véase supra</w:t>
      </w:r>
      <w:r w:rsidRPr="00AE5C72">
        <w:rPr>
          <w:rStyle w:val="Footnote"/>
          <w:rFonts w:ascii="Times New Roman" w:hAnsi="Times New Roman"/>
          <w:color w:val="000000"/>
          <w:sz w:val="18"/>
          <w:lang w:val="es-AR" w:eastAsia="es-ES_tradnl"/>
        </w:rPr>
        <w:t xml:space="preserve"> sección III.2.1.</w:t>
      </w:r>
    </w:p>
  </w:footnote>
  <w:footnote w:id="74">
    <w:p w14:paraId="3A26E445"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Solicitud de Concesión del Álveo, 7 de septiembre de 2011 (C-0093).</w:t>
      </w:r>
    </w:p>
  </w:footnote>
  <w:footnote w:id="75">
    <w:p w14:paraId="010FFEC4"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Carta de A. Breccia (secretario de la Presidencia) a Minera Aratirí, 5 de agosto de 2010 (C-0028).</w:t>
      </w:r>
    </w:p>
  </w:footnote>
  <w:footnote w:id="76">
    <w:p w14:paraId="5DAD548E" w14:textId="77777777" w:rsidR="003468CF" w:rsidRPr="00685BAE" w:rsidRDefault="003468CF" w:rsidP="00AE5C72">
      <w:pPr>
        <w:pStyle w:val="Footnote30"/>
        <w:shd w:val="clear" w:color="auto" w:fill="auto"/>
        <w:tabs>
          <w:tab w:val="left" w:pos="284"/>
        </w:tabs>
        <w:spacing w:before="180" w:line="240" w:lineRule="auto"/>
        <w:rPr>
          <w:rFonts w:ascii="Times New Roman" w:hAnsi="Times New Roman"/>
          <w:b w:val="0"/>
          <w:i w:val="0"/>
          <w:sz w:val="18"/>
          <w:lang w:val="es-AR"/>
        </w:rPr>
      </w:pPr>
      <w:r w:rsidRPr="00AE5C72">
        <w:rPr>
          <w:rStyle w:val="Footnote3NotItalic"/>
          <w:rFonts w:ascii="Times New Roman" w:hAnsi="Times New Roman"/>
          <w:color w:val="000000"/>
          <w:sz w:val="18"/>
          <w:vertAlign w:val="superscript"/>
          <w:lang w:eastAsia="es-ES_tradnl"/>
        </w:rPr>
        <w:footnoteRef/>
      </w:r>
      <w:r w:rsidRPr="00AE5C72">
        <w:rPr>
          <w:rStyle w:val="Footnote3NotItalic"/>
          <w:rFonts w:ascii="Times New Roman" w:hAnsi="Times New Roman"/>
          <w:color w:val="000000"/>
          <w:sz w:val="18"/>
          <w:lang w:val="es-AR" w:eastAsia="es-ES_tradnl"/>
        </w:rPr>
        <w:tab/>
      </w:r>
      <w:r w:rsidRPr="00685BAE">
        <w:rPr>
          <w:rStyle w:val="Footnote3"/>
          <w:rFonts w:ascii="Times New Roman" w:hAnsi="Times New Roman"/>
          <w:i/>
          <w:color w:val="000000"/>
          <w:sz w:val="18"/>
          <w:lang w:val="es-AR" w:eastAsia="es-ES_tradnl"/>
        </w:rPr>
        <w:t>Id.</w:t>
      </w:r>
    </w:p>
  </w:footnote>
  <w:footnote w:id="77">
    <w:p w14:paraId="5D91C3FF"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Ley No. 19.046, Puerto de Aguas Profundas Situado en las Costas del Océano Atlántico, 20 de diciembre de 2012 (C-0138); Carta de J. Rucks (DINAMA) a Minera Aratirí, 28 de febrero de 2013 (C-0139).</w:t>
      </w:r>
    </w:p>
  </w:footnote>
  <w:footnote w:id="78">
    <w:p w14:paraId="3C18EEF8"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Decreto No. 129/015, Derogación de los Decretos 395/011 y 196/012 relativo a la instalación de un Puerto de Aguas Profundas en la Costa del Este de la República, 12 de mayo de 2015 (C-0168).</w:t>
      </w:r>
    </w:p>
  </w:footnote>
  <w:footnote w:id="79">
    <w:p w14:paraId="23947810"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Demanda, párr. 60.</w:t>
      </w:r>
    </w:p>
  </w:footnote>
  <w:footnote w:id="80">
    <w:p w14:paraId="11CEBABB"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Demanda, párr. 52; Primera declaración de Shah, párr. 42 (CWS-2).</w:t>
      </w:r>
    </w:p>
  </w:footnote>
  <w:footnote w:id="81">
    <w:p w14:paraId="42DE6542"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Dúplica (Fondo), párrs. 511-512.</w:t>
      </w:r>
    </w:p>
  </w:footnote>
  <w:footnote w:id="82">
    <w:p w14:paraId="68DF8032"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Primera declaración de Chulepin, párr. 57 (CWS-3); Primer informe de Delpiazzo, párrs. 75-77 (CER-1).</w:t>
      </w:r>
    </w:p>
  </w:footnote>
  <w:footnote w:id="83">
    <w:p w14:paraId="6145FB98"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Carta de A. Franco y A. Merrett (Minera Aratirí) a G. Musiera (MVOTMA), 5 de abril de 2011 (R-0078).</w:t>
      </w:r>
    </w:p>
  </w:footnote>
  <w:footnote w:id="84">
    <w:p w14:paraId="54D1D29B"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Solicitud de AAP actualizada de Minera Aratirí, 20 de agosto de 2014 (C-0380).</w:t>
      </w:r>
    </w:p>
  </w:footnote>
  <w:footnote w:id="85">
    <w:p w14:paraId="10895CBA"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Carta de E. Andrada (Minera Aratirí) a la Ministra C. Cosse (MIEM), 21 de mayo de 2015 (C-0171); Carta de E. Andrada (Minera Aratirí) a la Ministra C. Cosse (MIEM), 24 de junio de 2015 (C-0172); Carta de H. Chulepin (Minera Aratirí) a M. Toma (secretario de la Presidencia),</w:t>
      </w:r>
    </w:p>
    <w:p w14:paraId="00B70BF0" w14:textId="77777777" w:rsidR="003468CF" w:rsidRPr="00AE5C72" w:rsidRDefault="003468CF" w:rsidP="00AE5C72">
      <w:pPr>
        <w:pStyle w:val="Footnote0"/>
        <w:numPr>
          <w:ilvl w:val="0"/>
          <w:numId w:val="10"/>
        </w:numPr>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lang w:val="es-AR" w:eastAsia="es-ES_tradnl"/>
        </w:rPr>
        <w:t>de junio de 2015 (C-0174); Mensaje de correo electrónico de E. Andrada (Minera Aratirí) a M. Toma (secretario de la Presidencia), 30 de junio de 2015 (C-0206); Carta de P. Agarwal (Zamin) al Presidente T. Vázquez, 28 de julio de 2015 (C-0175); Acta de Reunión en mensaje de correo electrónico de D. Cahill a J. Shah y A. Deora, 19 de agosto de 2015 (C-0179).</w:t>
      </w:r>
    </w:p>
  </w:footnote>
  <w:footnote w:id="86">
    <w:p w14:paraId="0951AACA"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Mensaje de correo electrónico de J. Shah a P. Agarwal &amp; A. Deora, 19 de agosto de 2015 (C-0176); Acta de Reunión en mensaje de correo electrónico de H. Chulepin a A. Deora &amp; J. Shah, 19 de agosto de 2015 (C-0178).</w:t>
      </w:r>
    </w:p>
  </w:footnote>
  <w:footnote w:id="87">
    <w:p w14:paraId="1D11CE7E"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Demanda, párr. 398; Escrito de Contestación (Fondo), párr. 312; Primera declaración de Agarwal, párr. 119 (CWS-1) Primera declaración de Chulepin, párr. 107 (CWS-3).</w:t>
      </w:r>
    </w:p>
  </w:footnote>
  <w:footnote w:id="88">
    <w:p w14:paraId="4F2B8536"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Primera declaración de Chulepin, párr. 116 (CWS-3).</w:t>
      </w:r>
    </w:p>
  </w:footnote>
  <w:footnote w:id="89">
    <w:p w14:paraId="53A24B1C"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Demanda, párr. 627; Réplica (Fondo), párr. 1035 señala: "[l]os Demandantes hacen reserva expresa de todos sus derechos, incluido el derecho de modificar, enmendar y/o complementar esta Réplica sobre el Fondo y sus pretensiones en la medida de lo permitido por el Tratado, el Reglamento de la CNUDMI y la ley[]aplicable".</w:t>
      </w:r>
    </w:p>
  </w:footnote>
  <w:footnote w:id="90">
    <w:p w14:paraId="14285547"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Contestación (Jurisdicción), párr. 322; Dúplica (Jurisdicción), párr. 309.</w:t>
      </w:r>
    </w:p>
  </w:footnote>
  <w:footnote w:id="91">
    <w:p w14:paraId="6A5C520B"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Memorial (Jurisdicción), párr. 157.</w:t>
      </w:r>
    </w:p>
  </w:footnote>
  <w:footnote w:id="92">
    <w:p w14:paraId="72C4543F"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Réplica (Jurisdicción), párr. 325.</w:t>
      </w:r>
    </w:p>
  </w:footnote>
  <w:footnote w:id="93">
    <w:p w14:paraId="70E0F66F" w14:textId="77777777" w:rsidR="003468CF" w:rsidRPr="009C30F3" w:rsidRDefault="003468CF" w:rsidP="00AE5C72">
      <w:pPr>
        <w:pStyle w:val="FootnoteText"/>
        <w:tabs>
          <w:tab w:val="left" w:pos="284"/>
        </w:tabs>
        <w:spacing w:before="180"/>
        <w:rPr>
          <w:rFonts w:ascii="Times New Roman" w:hAnsi="Times New Roman"/>
          <w:b/>
          <w:sz w:val="18"/>
          <w:lang w:val="es-AR"/>
        </w:rPr>
      </w:pPr>
      <w:r w:rsidRPr="00E218BE">
        <w:rPr>
          <w:rStyle w:val="FootnoteReference"/>
          <w:rFonts w:ascii="Times New Roman" w:hAnsi="Times New Roman"/>
          <w:sz w:val="18"/>
        </w:rPr>
        <w:footnoteRef/>
      </w:r>
      <w:r>
        <w:rPr>
          <w:rFonts w:ascii="Times New Roman" w:hAnsi="Times New Roman"/>
          <w:sz w:val="18"/>
          <w:lang w:val="es-AR"/>
        </w:rPr>
        <w:tab/>
      </w:r>
      <w:r w:rsidRPr="009C30F3">
        <w:rPr>
          <w:rStyle w:val="Footnote"/>
          <w:rFonts w:ascii="Times New Roman" w:hAnsi="Times New Roman"/>
          <w:b w:val="0"/>
          <w:sz w:val="18"/>
          <w:lang w:val="es-AR"/>
        </w:rPr>
        <w:t>Escrito de Contestación (Fondo), párr. 1045; Dúplica (Fondo), párr. 930.</w:t>
      </w:r>
    </w:p>
  </w:footnote>
  <w:footnote w:id="94">
    <w:p w14:paraId="015B02C7"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 xml:space="preserve">P. Agarwal e Ian Phillips, Cayman Nat’l. Trust Co. Ltd., </w:t>
      </w:r>
      <w:r w:rsidRPr="00AE5C72">
        <w:rPr>
          <w:rStyle w:val="FootnoteItalic"/>
          <w:rFonts w:ascii="Times New Roman" w:hAnsi="Times New Roman"/>
          <w:bCs/>
          <w:color w:val="000000"/>
          <w:sz w:val="18"/>
          <w:lang w:val="es-AR" w:eastAsia="es-ES_tradnl"/>
        </w:rPr>
        <w:t>The P. Devi Trust -</w:t>
      </w:r>
      <w:r w:rsidRPr="00AE5C72">
        <w:rPr>
          <w:rStyle w:val="Footnote"/>
          <w:rFonts w:ascii="Times New Roman" w:hAnsi="Times New Roman"/>
          <w:color w:val="000000"/>
          <w:sz w:val="18"/>
          <w:lang w:val="es-AR" w:eastAsia="es-ES_tradnl"/>
        </w:rPr>
        <w:t xml:space="preserve"> Constitución, 1 de abril de 2008, cláusula 3 (C-0029). Por las razones indicadas en la nota al pie 299 </w:t>
      </w:r>
      <w:r w:rsidRPr="00AE5C72">
        <w:rPr>
          <w:rStyle w:val="FootnoteItalic"/>
          <w:rFonts w:ascii="Times New Roman" w:hAnsi="Times New Roman"/>
          <w:bCs/>
          <w:color w:val="000000"/>
          <w:sz w:val="18"/>
          <w:lang w:val="es-AR" w:eastAsia="es-ES_tradnl"/>
        </w:rPr>
        <w:t>infra,</w:t>
      </w:r>
      <w:r w:rsidRPr="00AE5C72">
        <w:rPr>
          <w:rStyle w:val="Footnote"/>
          <w:rFonts w:ascii="Times New Roman" w:hAnsi="Times New Roman"/>
          <w:color w:val="000000"/>
          <w:sz w:val="18"/>
          <w:lang w:val="es-AR" w:eastAsia="es-ES_tradnl"/>
        </w:rPr>
        <w:t xml:space="preserve"> el Tribunal considera que los </w:t>
      </w:r>
      <w:r w:rsidRPr="00AE5C72">
        <w:rPr>
          <w:rStyle w:val="FootnoteItalic"/>
          <w:rFonts w:ascii="Times New Roman" w:hAnsi="Times New Roman"/>
          <w:bCs/>
          <w:color w:val="000000"/>
          <w:sz w:val="18"/>
          <w:lang w:val="es-AR" w:eastAsia="es-ES_tradnl"/>
        </w:rPr>
        <w:t>trusts</w:t>
      </w:r>
      <w:r w:rsidRPr="00AE5C72">
        <w:rPr>
          <w:rStyle w:val="Footnote"/>
          <w:rFonts w:ascii="Times New Roman" w:hAnsi="Times New Roman"/>
          <w:color w:val="000000"/>
          <w:sz w:val="18"/>
          <w:lang w:val="es-AR" w:eastAsia="es-ES_tradnl"/>
        </w:rPr>
        <w:t xml:space="preserve"> en </w:t>
      </w:r>
      <w:r w:rsidRPr="00AE5C72">
        <w:rPr>
          <w:rStyle w:val="FootnoteItalic"/>
          <w:rFonts w:ascii="Times New Roman" w:hAnsi="Times New Roman"/>
          <w:bCs/>
          <w:color w:val="000000"/>
          <w:sz w:val="18"/>
          <w:lang w:val="es-AR" w:eastAsia="es-ES_tradnl"/>
        </w:rPr>
        <w:t>common law</w:t>
      </w:r>
      <w:r w:rsidRPr="00AE5C72">
        <w:rPr>
          <w:rStyle w:val="Footnote"/>
          <w:rFonts w:ascii="Times New Roman" w:hAnsi="Times New Roman"/>
          <w:color w:val="000000"/>
          <w:sz w:val="18"/>
          <w:lang w:val="es-AR" w:eastAsia="es-ES_tradnl"/>
        </w:rPr>
        <w:t xml:space="preserve"> y la institución de derecho civil del fideicomiso no son equivalentes, y empleará por ello los términos técnicos en inglés relativos a la institución del </w:t>
      </w:r>
      <w:r w:rsidRPr="00AE5C72">
        <w:rPr>
          <w:rStyle w:val="FootnoteItalic"/>
          <w:rFonts w:ascii="Times New Roman" w:hAnsi="Times New Roman"/>
          <w:bCs/>
          <w:color w:val="000000"/>
          <w:sz w:val="18"/>
          <w:lang w:val="es-AR" w:eastAsia="es-ES_tradnl"/>
        </w:rPr>
        <w:t>trust</w:t>
      </w:r>
      <w:r w:rsidRPr="00AE5C72">
        <w:rPr>
          <w:rStyle w:val="Footnote"/>
          <w:rFonts w:ascii="Times New Roman" w:hAnsi="Times New Roman"/>
          <w:color w:val="000000"/>
          <w:sz w:val="18"/>
          <w:lang w:val="es-AR" w:eastAsia="es-ES_tradnl"/>
        </w:rPr>
        <w:t xml:space="preserve"> en la versión en español de su laudo. Para mayor claridad, en las citas literales que realice de las versiones en español de los escritos de las Partes, declaraciones testimoniales e informes periciales, el Tribunal también sustituirá con términos en cursiva, cuando lo considere oportuno, las referencias que se realicen a fideicomisos e instituciones relacionadas cuando en su versión en inglés se refieran a </w:t>
      </w:r>
      <w:r w:rsidRPr="00AE5C72">
        <w:rPr>
          <w:rStyle w:val="FootnoteItalic"/>
          <w:rFonts w:ascii="Times New Roman" w:hAnsi="Times New Roman"/>
          <w:bCs/>
          <w:color w:val="000000"/>
          <w:sz w:val="18"/>
          <w:lang w:val="es-AR" w:eastAsia="es-ES_tradnl"/>
        </w:rPr>
        <w:t>trusts.</w:t>
      </w:r>
    </w:p>
  </w:footnote>
  <w:footnote w:id="95">
    <w:p w14:paraId="1B8648EA"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r>
      <w:r w:rsidRPr="00AE5C72">
        <w:rPr>
          <w:rStyle w:val="FootnoteItalic"/>
          <w:rFonts w:ascii="Times New Roman" w:hAnsi="Times New Roman"/>
          <w:bCs/>
          <w:color w:val="000000"/>
          <w:sz w:val="18"/>
          <w:lang w:val="es-AR" w:eastAsia="es-ES_tradnl"/>
        </w:rPr>
        <w:t>Id.</w:t>
      </w:r>
      <w:r w:rsidRPr="00AE5C72">
        <w:rPr>
          <w:rStyle w:val="Footnote"/>
          <w:rFonts w:ascii="Times New Roman" w:hAnsi="Times New Roman"/>
          <w:color w:val="000000"/>
          <w:sz w:val="18"/>
          <w:lang w:val="es-AR" w:eastAsia="es-ES_tradnl"/>
        </w:rPr>
        <w:t xml:space="preserve"> en 13 y sección </w:t>
      </w:r>
      <w:r w:rsidRPr="00AE5C72">
        <w:rPr>
          <w:rStyle w:val="FootnoteItalic"/>
          <w:rFonts w:ascii="Times New Roman" w:hAnsi="Times New Roman"/>
          <w:bCs/>
          <w:color w:val="000000"/>
          <w:sz w:val="18"/>
          <w:lang w:val="es-AR" w:eastAsia="es-ES_tradnl"/>
        </w:rPr>
        <w:t>"Parties".</w:t>
      </w:r>
    </w:p>
  </w:footnote>
  <w:footnote w:id="96">
    <w:p w14:paraId="09A7EA77"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Demanda, párrs. 91, 94.</w:t>
      </w:r>
    </w:p>
  </w:footnote>
  <w:footnote w:id="97">
    <w:p w14:paraId="09DA91B7"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t>Escrito de Contestación (Jurisdicción), párrs. 16-17.</w:t>
      </w:r>
    </w:p>
  </w:footnote>
  <w:footnote w:id="98">
    <w:p w14:paraId="2114D756"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r>
      <w:r w:rsidRPr="00AE5C72">
        <w:rPr>
          <w:rStyle w:val="FootnoteItalic"/>
          <w:rFonts w:ascii="Times New Roman" w:hAnsi="Times New Roman"/>
          <w:bCs/>
          <w:color w:val="000000"/>
          <w:sz w:val="18"/>
          <w:lang w:val="es-AR" w:eastAsia="es-ES_tradnl"/>
        </w:rPr>
        <w:t>Trust,</w:t>
      </w:r>
      <w:r w:rsidRPr="00AE5C72">
        <w:rPr>
          <w:rStyle w:val="Footnote"/>
          <w:rFonts w:ascii="Times New Roman" w:hAnsi="Times New Roman"/>
          <w:color w:val="000000"/>
          <w:sz w:val="18"/>
          <w:lang w:val="es-AR" w:eastAsia="es-ES_tradnl"/>
        </w:rPr>
        <w:t xml:space="preserve"> cláusula 2.1 (C-0029) (traducción del Tribunal).</w:t>
      </w:r>
    </w:p>
  </w:footnote>
  <w:footnote w:id="99">
    <w:p w14:paraId="3795C2C4" w14:textId="77777777" w:rsidR="003468CF" w:rsidRPr="00AE5C72"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r>
      <w:r w:rsidRPr="00AE5C72">
        <w:rPr>
          <w:rStyle w:val="FootnoteItalic"/>
          <w:rFonts w:ascii="Times New Roman" w:hAnsi="Times New Roman"/>
          <w:bCs/>
          <w:color w:val="000000"/>
          <w:sz w:val="18"/>
          <w:lang w:val="es-AR" w:eastAsia="es-ES_tradnl"/>
        </w:rPr>
        <w:t>Id.</w:t>
      </w:r>
      <w:r w:rsidRPr="00AE5C72">
        <w:rPr>
          <w:rStyle w:val="Footnote"/>
          <w:rFonts w:ascii="Times New Roman" w:hAnsi="Times New Roman"/>
          <w:color w:val="000000"/>
          <w:sz w:val="18"/>
          <w:lang w:val="es-AR" w:eastAsia="es-ES_tradnl"/>
        </w:rPr>
        <w:t xml:space="preserve"> en 19 (traducción del Tribunal).</w:t>
      </w:r>
    </w:p>
  </w:footnote>
  <w:footnote w:id="100">
    <w:p w14:paraId="075DA419"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r>
      <w:r w:rsidRPr="00AE5C72">
        <w:rPr>
          <w:rStyle w:val="FootnoteItalic"/>
          <w:rFonts w:ascii="Times New Roman" w:hAnsi="Times New Roman"/>
          <w:bCs/>
          <w:color w:val="000000"/>
          <w:sz w:val="18"/>
          <w:lang w:val="es-AR" w:eastAsia="es-ES_tradnl"/>
        </w:rPr>
        <w:t>Id.</w:t>
      </w:r>
      <w:r w:rsidRPr="00AE5C72">
        <w:rPr>
          <w:rStyle w:val="Footnote"/>
          <w:rFonts w:ascii="Times New Roman" w:hAnsi="Times New Roman"/>
          <w:color w:val="000000"/>
          <w:sz w:val="18"/>
          <w:lang w:val="es-AR" w:eastAsia="es-ES_tradnl"/>
        </w:rPr>
        <w:t xml:space="preserve"> en 5.1.1: "[...] los </w:t>
      </w:r>
      <w:r w:rsidRPr="00AE5C72">
        <w:rPr>
          <w:rStyle w:val="FootnoteItalic"/>
          <w:rFonts w:ascii="Times New Roman" w:hAnsi="Times New Roman"/>
          <w:bCs/>
          <w:color w:val="000000"/>
          <w:sz w:val="18"/>
          <w:lang w:val="es-AR" w:eastAsia="es-ES_tradnl"/>
        </w:rPr>
        <w:t>[Trustees]</w:t>
      </w:r>
      <w:r w:rsidRPr="00AE5C72">
        <w:rPr>
          <w:rStyle w:val="Footnote"/>
          <w:rFonts w:ascii="Times New Roman" w:hAnsi="Times New Roman"/>
          <w:color w:val="000000"/>
          <w:sz w:val="18"/>
          <w:lang w:val="es-AR" w:eastAsia="es-ES_tradnl"/>
        </w:rPr>
        <w:t xml:space="preserve"> tendrán facultades para pagar, transferir o aplicar a todos o cualquiera de los Beneficiarios, o en beneficio de todos o cualquiera de ellos, la totalidad o parte de los ingresos o (con el consentimiento del Protector) el capital del Fondo [del </w:t>
      </w:r>
      <w:r w:rsidRPr="00AE5C72">
        <w:rPr>
          <w:rStyle w:val="FootnoteItalic"/>
          <w:rFonts w:ascii="Times New Roman" w:hAnsi="Times New Roman"/>
          <w:bCs/>
          <w:color w:val="000000"/>
          <w:sz w:val="18"/>
          <w:lang w:val="es-AR" w:eastAsia="es-ES_tradnl"/>
        </w:rPr>
        <w:t>Trust]</w:t>
      </w:r>
      <w:r w:rsidRPr="00AE5C72">
        <w:rPr>
          <w:rStyle w:val="Footnote"/>
          <w:rFonts w:ascii="Times New Roman" w:hAnsi="Times New Roman"/>
          <w:color w:val="000000"/>
          <w:sz w:val="18"/>
          <w:lang w:val="es-AR" w:eastAsia="es-ES_tradnl"/>
        </w:rPr>
        <w:t xml:space="preserve"> en los porcentajes y de la manera que consideren conveniente" (traducción de los Demandantes, </w:t>
      </w:r>
      <w:r w:rsidRPr="00AE5C72">
        <w:rPr>
          <w:rStyle w:val="FootnoteItalic"/>
          <w:rFonts w:ascii="Times New Roman" w:hAnsi="Times New Roman"/>
          <w:bCs/>
          <w:color w:val="000000"/>
          <w:sz w:val="18"/>
          <w:lang w:val="es-AR" w:eastAsia="es-ES_tradnl"/>
        </w:rPr>
        <w:t>véase</w:t>
      </w:r>
      <w:r w:rsidRPr="00AE5C72">
        <w:rPr>
          <w:rStyle w:val="Footnote"/>
          <w:rFonts w:ascii="Times New Roman" w:hAnsi="Times New Roman"/>
          <w:color w:val="000000"/>
          <w:sz w:val="18"/>
          <w:lang w:val="es-AR" w:eastAsia="es-ES_tradnl"/>
        </w:rPr>
        <w:t xml:space="preserve"> Dúplica (Jurisdicción), párr. 98).</w:t>
      </w:r>
    </w:p>
  </w:footnote>
  <w:footnote w:id="101">
    <w:p w14:paraId="2E6D086F" w14:textId="77777777" w:rsidR="003468CF" w:rsidRPr="00AE5C72"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AE5C72">
        <w:rPr>
          <w:rStyle w:val="Footnote"/>
          <w:rFonts w:ascii="Times New Roman" w:hAnsi="Times New Roman"/>
          <w:color w:val="000000"/>
          <w:sz w:val="18"/>
          <w:vertAlign w:val="superscript"/>
          <w:lang w:eastAsia="es-ES_tradnl"/>
        </w:rPr>
        <w:footnoteRef/>
      </w:r>
      <w:r w:rsidRPr="00AE5C72">
        <w:rPr>
          <w:rStyle w:val="Footnote"/>
          <w:rFonts w:ascii="Times New Roman" w:hAnsi="Times New Roman"/>
          <w:color w:val="000000"/>
          <w:sz w:val="18"/>
          <w:lang w:val="es-AR" w:eastAsia="es-ES_tradnl"/>
        </w:rPr>
        <w:tab/>
      </w:r>
      <w:r w:rsidRPr="00AE5C72">
        <w:rPr>
          <w:rStyle w:val="FootnoteItalic"/>
          <w:rFonts w:ascii="Times New Roman" w:hAnsi="Times New Roman"/>
          <w:bCs/>
          <w:color w:val="000000"/>
          <w:sz w:val="18"/>
          <w:lang w:val="es-AR" w:eastAsia="es-ES_tradnl"/>
        </w:rPr>
        <w:t>Id.</w:t>
      </w:r>
      <w:r w:rsidRPr="00AE5C72">
        <w:rPr>
          <w:rStyle w:val="Footnote"/>
          <w:rFonts w:ascii="Times New Roman" w:hAnsi="Times New Roman"/>
          <w:color w:val="000000"/>
          <w:sz w:val="18"/>
          <w:lang w:val="es-AR" w:eastAsia="es-ES_tradnl"/>
        </w:rPr>
        <w:t xml:space="preserve"> en 10: "En el ejercicio de cualquiera de las facultades dispuestas en el presente Contrato que sean ejercitables a favor o para beneficio de más de un objeto de la facultad, los </w:t>
      </w:r>
      <w:r w:rsidRPr="00AE5C72">
        <w:rPr>
          <w:rStyle w:val="FootnoteItalic"/>
          <w:rFonts w:ascii="Times New Roman" w:hAnsi="Times New Roman"/>
          <w:bCs/>
          <w:color w:val="000000"/>
          <w:sz w:val="18"/>
          <w:lang w:val="es-AR" w:eastAsia="es-ES_tradnl"/>
        </w:rPr>
        <w:t>Trustees</w:t>
      </w:r>
      <w:r w:rsidRPr="00AE5C72">
        <w:rPr>
          <w:rStyle w:val="Footnote"/>
          <w:rFonts w:ascii="Times New Roman" w:hAnsi="Times New Roman"/>
          <w:color w:val="000000"/>
          <w:sz w:val="18"/>
          <w:lang w:val="es-AR" w:eastAsia="es-ES_tradnl"/>
        </w:rPr>
        <w:t xml:space="preserve"> estarán autorizados a ejercer la facultad a favor o para el beneficio de uno o más de dichos objetos, con exclusión de uno o más de los restantes" (traducción del Tribunal).</w:t>
      </w:r>
    </w:p>
  </w:footnote>
  <w:footnote w:id="102">
    <w:p w14:paraId="27E94A64" w14:textId="77777777" w:rsidR="003468CF" w:rsidRPr="003F2E84" w:rsidRDefault="003468CF" w:rsidP="00AE5C72">
      <w:pPr>
        <w:pStyle w:val="FootnoteText"/>
        <w:tabs>
          <w:tab w:val="left" w:pos="284"/>
        </w:tabs>
        <w:spacing w:before="180"/>
        <w:rPr>
          <w:rFonts w:ascii="Times New Roman" w:hAnsi="Times New Roman"/>
          <w:i/>
          <w:sz w:val="18"/>
          <w:lang w:val="es-AR"/>
        </w:rPr>
      </w:pPr>
      <w:r w:rsidRPr="00AE5C72">
        <w:rPr>
          <w:rStyle w:val="FootnoteReference"/>
          <w:rFonts w:ascii="Times New Roman" w:hAnsi="Times New Roman"/>
          <w:sz w:val="18"/>
        </w:rPr>
        <w:footnoteRef/>
      </w:r>
      <w:r>
        <w:rPr>
          <w:rStyle w:val="Bodytext210pt"/>
          <w:rFonts w:eastAsia="Arial Unicode MS"/>
          <w:b w:val="0"/>
          <w:sz w:val="18"/>
          <w:lang w:val="es-AR"/>
        </w:rPr>
        <w:tab/>
      </w:r>
      <w:r w:rsidRPr="00AE5C72">
        <w:rPr>
          <w:rStyle w:val="Bodytext210pt"/>
          <w:rFonts w:eastAsia="Arial Unicode MS"/>
          <w:b w:val="0"/>
          <w:sz w:val="18"/>
          <w:lang w:val="es-AR"/>
        </w:rPr>
        <w:t xml:space="preserve">Id. </w:t>
      </w:r>
      <w:r w:rsidRPr="003F2E84">
        <w:rPr>
          <w:rStyle w:val="Bodytext210pt"/>
          <w:rFonts w:eastAsia="Arial Unicode MS"/>
          <w:b w:val="0"/>
          <w:i w:val="0"/>
          <w:sz w:val="18"/>
          <w:lang w:val="es-AR"/>
        </w:rPr>
        <w:t>en 17.1 (traducción del Tribunal).</w:t>
      </w:r>
    </w:p>
  </w:footnote>
  <w:footnote w:id="103">
    <w:p w14:paraId="3BD79D6B" w14:textId="77777777" w:rsidR="003468CF" w:rsidRPr="00EA04BF" w:rsidRDefault="003468CF" w:rsidP="00AE5C72">
      <w:pPr>
        <w:pStyle w:val="Footnote0"/>
        <w:shd w:val="clear" w:color="auto" w:fill="auto"/>
        <w:tabs>
          <w:tab w:val="left" w:pos="284"/>
        </w:tabs>
        <w:spacing w:before="180" w:line="240" w:lineRule="auto"/>
        <w:jc w:val="both"/>
        <w:rPr>
          <w:rFonts w:ascii="Times New Roman" w:hAnsi="Times New Roman"/>
          <w:sz w:val="18"/>
          <w:lang w:val="es-AR"/>
        </w:rPr>
      </w:pPr>
      <w:r w:rsidRPr="00EA04BF">
        <w:rPr>
          <w:rStyle w:val="Footnote7pt"/>
          <w:rFonts w:ascii="Times New Roman" w:hAnsi="Times New Roman"/>
          <w:bCs/>
          <w:color w:val="000000"/>
          <w:sz w:val="18"/>
          <w:vertAlign w:val="superscript"/>
          <w:lang w:eastAsia="es-ES_tradnl"/>
        </w:rPr>
        <w:footnoteRef/>
      </w:r>
      <w:r w:rsidRPr="00EA04BF">
        <w:rPr>
          <w:rStyle w:val="Footnote7pt"/>
          <w:rFonts w:ascii="Times New Roman" w:hAnsi="Times New Roman"/>
          <w:bCs/>
          <w:color w:val="000000"/>
          <w:sz w:val="18"/>
          <w:lang w:val="es-AR" w:eastAsia="es-ES_tradnl"/>
        </w:rPr>
        <w:tab/>
      </w:r>
      <w:r w:rsidRPr="00EA04BF">
        <w:rPr>
          <w:rStyle w:val="Bodytext210pt"/>
          <w:rFonts w:eastAsia="Calibri"/>
          <w:bCs/>
          <w:color w:val="000000"/>
          <w:sz w:val="18"/>
          <w:lang w:val="es-AR" w:eastAsia="es-ES_tradnl"/>
        </w:rPr>
        <w:t>Id.</w:t>
      </w:r>
      <w:r w:rsidRPr="00EA04BF">
        <w:rPr>
          <w:rStyle w:val="Footnote7pt"/>
          <w:rFonts w:ascii="Times New Roman" w:hAnsi="Times New Roman"/>
          <w:bCs/>
          <w:color w:val="000000"/>
          <w:sz w:val="18"/>
          <w:lang w:val="es-AR" w:eastAsia="es-ES_tradnl"/>
        </w:rPr>
        <w:t xml:space="preserve"> en 18 (traducción del Tribunal). El </w:t>
      </w:r>
      <w:r w:rsidRPr="00EA04BF">
        <w:rPr>
          <w:rStyle w:val="Bodytext210pt"/>
          <w:rFonts w:eastAsia="Calibri"/>
          <w:bCs/>
          <w:color w:val="000000"/>
          <w:sz w:val="18"/>
          <w:lang w:val="es-AR" w:eastAsia="es-ES_tradnl"/>
        </w:rPr>
        <w:t>Trust</w:t>
      </w:r>
      <w:r w:rsidRPr="00EA04BF">
        <w:rPr>
          <w:rStyle w:val="Footnote7pt"/>
          <w:rFonts w:ascii="Times New Roman" w:hAnsi="Times New Roman"/>
          <w:bCs/>
          <w:color w:val="000000"/>
          <w:sz w:val="18"/>
          <w:lang w:val="es-AR" w:eastAsia="es-ES_tradnl"/>
        </w:rPr>
        <w:t xml:space="preserve"> impone restricciones adicionales a las Personas Excluidas, al disponer, en la cláusula 18.3, que: "[...] ninguna facultad o discrecionalidad conferida a los </w:t>
      </w:r>
      <w:r w:rsidRPr="00EA04BF">
        <w:rPr>
          <w:rStyle w:val="Bodytext210pt"/>
          <w:rFonts w:eastAsia="Calibri"/>
          <w:bCs/>
          <w:color w:val="000000"/>
          <w:sz w:val="18"/>
          <w:lang w:val="es-AR" w:eastAsia="es-ES_tradnl"/>
        </w:rPr>
        <w:t>Trustees</w:t>
      </w:r>
      <w:r w:rsidRPr="00EA04BF">
        <w:rPr>
          <w:rStyle w:val="Footnote7pt"/>
          <w:rFonts w:ascii="Times New Roman" w:hAnsi="Times New Roman"/>
          <w:bCs/>
          <w:color w:val="000000"/>
          <w:sz w:val="18"/>
          <w:lang w:val="es-AR" w:eastAsia="es-ES_tradnl"/>
        </w:rPr>
        <w:t xml:space="preserve"> en su conjunto o individualmente por la ley o el presente Contrato podrá ser ejercida o aplicada de manera que confiera un beneficio directo o indirecto a las Personas Excluidas, de ninguna manera o en </w:t>
      </w:r>
      <w:r w:rsidRPr="00AC7993">
        <w:rPr>
          <w:rStyle w:val="Bodytext210pt"/>
          <w:rFonts w:eastAsia="Calibri"/>
          <w:bCs/>
          <w:i w:val="0"/>
          <w:color w:val="000000"/>
          <w:sz w:val="18"/>
          <w:lang w:val="es-AR" w:eastAsia="es-ES_tradnl"/>
        </w:rPr>
        <w:t>ninguna circunstancia" (traducción del Tribunal).</w:t>
      </w:r>
    </w:p>
  </w:footnote>
  <w:footnote w:id="104">
    <w:p w14:paraId="59BEE976" w14:textId="77777777" w:rsidR="003468CF" w:rsidRPr="00AE5C72" w:rsidRDefault="003468CF" w:rsidP="00AE5C72">
      <w:pPr>
        <w:pStyle w:val="Footnote30"/>
        <w:shd w:val="clear" w:color="auto" w:fill="auto"/>
        <w:tabs>
          <w:tab w:val="left" w:pos="284"/>
        </w:tabs>
        <w:spacing w:before="180" w:line="240" w:lineRule="auto"/>
        <w:rPr>
          <w:rFonts w:ascii="Times New Roman" w:hAnsi="Times New Roman"/>
          <w:b w:val="0"/>
          <w:sz w:val="18"/>
          <w:lang w:val="es-AR"/>
        </w:rPr>
      </w:pPr>
      <w:r w:rsidRPr="00AE5C72">
        <w:rPr>
          <w:rStyle w:val="Footnote38pt"/>
          <w:rFonts w:ascii="Times New Roman" w:hAnsi="Times New Roman"/>
          <w:bCs/>
          <w:i/>
          <w:iCs/>
          <w:color w:val="000000"/>
          <w:sz w:val="18"/>
          <w:vertAlign w:val="superscript"/>
          <w:lang w:eastAsia="es-ES_tradnl"/>
        </w:rPr>
        <w:footnoteRef/>
      </w:r>
      <w:r w:rsidRPr="00AE5C72">
        <w:rPr>
          <w:rStyle w:val="Footnote38pt"/>
          <w:rFonts w:ascii="Times New Roman" w:hAnsi="Times New Roman"/>
          <w:bCs/>
          <w:i/>
          <w:iCs/>
          <w:color w:val="000000"/>
          <w:sz w:val="18"/>
          <w:lang w:val="es-AR" w:eastAsia="es-ES_tradnl"/>
        </w:rPr>
        <w:tab/>
        <w:t>Id. en 17.2.</w:t>
      </w:r>
    </w:p>
  </w:footnote>
  <w:footnote w:id="105">
    <w:p w14:paraId="0C0F3AAC" w14:textId="77777777" w:rsidR="003468CF" w:rsidRPr="00D23D53"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D23D53">
        <w:rPr>
          <w:rStyle w:val="Footnote7pt"/>
          <w:rFonts w:ascii="Times New Roman" w:hAnsi="Times New Roman"/>
          <w:bCs/>
          <w:color w:val="000000"/>
          <w:sz w:val="18"/>
          <w:vertAlign w:val="superscript"/>
          <w:lang w:eastAsia="es-ES_tradnl"/>
        </w:rPr>
        <w:footnoteRef/>
      </w:r>
      <w:r w:rsidRPr="00D23D53">
        <w:rPr>
          <w:rStyle w:val="Footnote7pt"/>
          <w:rFonts w:ascii="Times New Roman" w:hAnsi="Times New Roman"/>
          <w:bCs/>
          <w:color w:val="000000"/>
          <w:sz w:val="18"/>
          <w:lang w:val="es-AR" w:eastAsia="es-ES_tradnl"/>
        </w:rPr>
        <w:tab/>
      </w:r>
      <w:r w:rsidRPr="00D23D53">
        <w:rPr>
          <w:rStyle w:val="Bodytext210pt"/>
          <w:rFonts w:eastAsia="Calibri"/>
          <w:bCs/>
          <w:color w:val="000000"/>
          <w:sz w:val="18"/>
          <w:lang w:val="es-AR" w:eastAsia="es-ES_tradnl"/>
        </w:rPr>
        <w:t>Id.</w:t>
      </w:r>
      <w:r w:rsidRPr="00D23D53">
        <w:rPr>
          <w:rStyle w:val="Footnote7pt"/>
          <w:rFonts w:ascii="Times New Roman" w:hAnsi="Times New Roman"/>
          <w:bCs/>
          <w:color w:val="000000"/>
          <w:sz w:val="18"/>
          <w:lang w:val="es-AR" w:eastAsia="es-ES_tradnl"/>
        </w:rPr>
        <w:t xml:space="preserve"> en 19.1 (traducción del Tribunal).</w:t>
      </w:r>
    </w:p>
  </w:footnote>
  <w:footnote w:id="106">
    <w:p w14:paraId="3F4A940E" w14:textId="77777777" w:rsidR="003468CF" w:rsidRPr="00D23D53"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D23D53">
        <w:rPr>
          <w:rStyle w:val="Footnote7pt"/>
          <w:rFonts w:ascii="Times New Roman" w:hAnsi="Times New Roman"/>
          <w:bCs/>
          <w:color w:val="000000"/>
          <w:sz w:val="18"/>
          <w:vertAlign w:val="superscript"/>
          <w:lang w:eastAsia="es-ES_tradnl"/>
        </w:rPr>
        <w:footnoteRef/>
      </w:r>
      <w:r w:rsidRPr="00D23D53">
        <w:rPr>
          <w:rStyle w:val="Footnote7pt"/>
          <w:rFonts w:ascii="Times New Roman" w:hAnsi="Times New Roman"/>
          <w:bCs/>
          <w:color w:val="000000"/>
          <w:sz w:val="18"/>
          <w:lang w:val="es-AR" w:eastAsia="es-ES_tradnl"/>
        </w:rPr>
        <w:tab/>
      </w:r>
      <w:r w:rsidRPr="00D23D53">
        <w:rPr>
          <w:rStyle w:val="Bodytext210pt"/>
          <w:rFonts w:eastAsia="Calibri"/>
          <w:bCs/>
          <w:color w:val="000000"/>
          <w:sz w:val="18"/>
          <w:lang w:val="es-AR" w:eastAsia="es-ES_tradnl"/>
        </w:rPr>
        <w:t>Id.</w:t>
      </w:r>
      <w:r w:rsidRPr="00D23D53">
        <w:rPr>
          <w:rStyle w:val="Footnote7pt"/>
          <w:rFonts w:ascii="Times New Roman" w:hAnsi="Times New Roman"/>
          <w:bCs/>
          <w:color w:val="000000"/>
          <w:sz w:val="18"/>
          <w:lang w:val="es-AR" w:eastAsia="es-ES_tradnl"/>
        </w:rPr>
        <w:t xml:space="preserve"> en 7.1.</w:t>
      </w:r>
    </w:p>
  </w:footnote>
  <w:footnote w:id="107">
    <w:p w14:paraId="2B1EA013"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Id.</w:t>
      </w:r>
      <w:r w:rsidRPr="00EF5625">
        <w:rPr>
          <w:rStyle w:val="Footnote7pt"/>
          <w:rFonts w:ascii="Times New Roman" w:hAnsi="Times New Roman"/>
          <w:bCs/>
          <w:color w:val="000000"/>
          <w:sz w:val="18"/>
          <w:lang w:val="es-AR" w:eastAsia="es-ES_tradnl"/>
        </w:rPr>
        <w:t xml:space="preserve"> en 9.</w:t>
      </w:r>
    </w:p>
  </w:footnote>
  <w:footnote w:id="108">
    <w:p w14:paraId="50EFBB37"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Id.</w:t>
      </w:r>
      <w:r w:rsidRPr="00EF5625">
        <w:rPr>
          <w:rStyle w:val="Footnote7pt"/>
          <w:rFonts w:ascii="Times New Roman" w:hAnsi="Times New Roman"/>
          <w:bCs/>
          <w:color w:val="000000"/>
          <w:sz w:val="18"/>
          <w:lang w:val="es-AR" w:eastAsia="es-ES_tradnl"/>
        </w:rPr>
        <w:t xml:space="preserve"> en 6 (traducción del Tribunal).</w:t>
      </w:r>
    </w:p>
  </w:footnote>
  <w:footnote w:id="109">
    <w:p w14:paraId="17EDFD4E"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Id.</w:t>
      </w:r>
      <w:r w:rsidRPr="00EF5625">
        <w:rPr>
          <w:rStyle w:val="Footnote7pt"/>
          <w:rFonts w:ascii="Times New Roman" w:hAnsi="Times New Roman"/>
          <w:bCs/>
          <w:color w:val="000000"/>
          <w:sz w:val="18"/>
          <w:lang w:val="es-AR" w:eastAsia="es-ES_tradnl"/>
        </w:rPr>
        <w:t xml:space="preserve"> en 7.3 (traducción del Tribunal).</w:t>
      </w:r>
    </w:p>
  </w:footnote>
  <w:footnote w:id="110">
    <w:p w14:paraId="201B6863"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Id.</w:t>
      </w:r>
      <w:r w:rsidRPr="00EF5625">
        <w:rPr>
          <w:rStyle w:val="Footnote7pt"/>
          <w:rFonts w:ascii="Times New Roman" w:hAnsi="Times New Roman"/>
          <w:bCs/>
          <w:color w:val="000000"/>
          <w:sz w:val="18"/>
          <w:lang w:val="es-AR" w:eastAsia="es-ES_tradnl"/>
        </w:rPr>
        <w:t xml:space="preserve"> en 7.8 (traducción del Tribunal).</w:t>
      </w:r>
    </w:p>
  </w:footnote>
  <w:footnote w:id="111">
    <w:p w14:paraId="568069A4"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párrs. 151-152.</w:t>
      </w:r>
    </w:p>
  </w:footnote>
  <w:footnote w:id="112">
    <w:p w14:paraId="1761A3F4"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Carta de Deseos de Pramod Agarwal a Sushil Jiwarajka, 10 de abril de 2008 (C-0030) (traducción del Tribunal).</w:t>
      </w:r>
    </w:p>
  </w:footnote>
  <w:footnote w:id="113">
    <w:p w14:paraId="17DB8649"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Certificado de constitución de Miari PTC Ltd., 23 de septiembre de 2010 (C-0264). Según los Demandantes, los abogados del Sr. Agarwal estructuraron la sociedad con la implementación de una serie de controles internos a los efectos de asegurar que Miari fuese independiente y menos vulnerable a implicaciones tributarias adversas (Escrito de Contestación (Jurisdicción), párr. 38; Segunda declaración testimonial de Pramod Agarwal, 13 de junio de 2019, párr. 57 (CWS-9) ("Segunda declaración de Agarwal")).</w:t>
      </w:r>
    </w:p>
  </w:footnote>
  <w:footnote w:id="114">
    <w:p w14:paraId="5BBB4C4D"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Escrito de Contestación (Jurisdicción), párr. 40; </w:t>
      </w:r>
      <w:r w:rsidRPr="00EF5625">
        <w:rPr>
          <w:rStyle w:val="Bodytext210pt"/>
          <w:rFonts w:eastAsia="Calibri"/>
          <w:bCs/>
          <w:color w:val="000000"/>
          <w:sz w:val="18"/>
          <w:lang w:val="es-AR" w:eastAsia="es-ES_tradnl"/>
        </w:rPr>
        <w:t>Sunder Devi Trust,</w:t>
      </w:r>
      <w:r w:rsidRPr="00EF5625">
        <w:rPr>
          <w:rStyle w:val="Footnote7pt"/>
          <w:rFonts w:ascii="Times New Roman" w:hAnsi="Times New Roman"/>
          <w:bCs/>
          <w:color w:val="000000"/>
          <w:sz w:val="18"/>
          <w:lang w:val="es-AR" w:eastAsia="es-ES_tradnl"/>
        </w:rPr>
        <w:t xml:space="preserve"> 8 de octubre de 2010, cláusula 8.1.1 (C-0265).</w:t>
      </w:r>
    </w:p>
  </w:footnote>
  <w:footnote w:id="115">
    <w:p w14:paraId="3B6AFF23"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Sunder Devi Trust,</w:t>
      </w:r>
      <w:r w:rsidRPr="00EF5625">
        <w:rPr>
          <w:rStyle w:val="Footnote7pt"/>
          <w:rFonts w:ascii="Times New Roman" w:hAnsi="Times New Roman"/>
          <w:bCs/>
          <w:color w:val="000000"/>
          <w:sz w:val="18"/>
          <w:lang w:val="es-AR" w:eastAsia="es-ES_tradnl"/>
        </w:rPr>
        <w:t xml:space="preserve"> 8 de octubre de 2010, cláusula 1.14 (C-0265) (traducción del Tribunal).</w:t>
      </w:r>
    </w:p>
  </w:footnote>
  <w:footnote w:id="116">
    <w:p w14:paraId="12CAC167"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39.</w:t>
      </w:r>
    </w:p>
  </w:footnote>
  <w:footnote w:id="117">
    <w:p w14:paraId="076A3E2D"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SunderDeviTrust,</w:t>
      </w:r>
      <w:r w:rsidRPr="00EF5625">
        <w:rPr>
          <w:rStyle w:val="Footnote7pt"/>
          <w:rFonts w:ascii="Times New Roman" w:hAnsi="Times New Roman"/>
          <w:bCs/>
          <w:color w:val="000000"/>
          <w:sz w:val="18"/>
          <w:lang w:val="es-AR" w:eastAsia="es-ES_tradnl"/>
        </w:rPr>
        <w:t xml:space="preserve"> 8 de octubre de 2010, clausula 7.1 (C-0265) ("[...] los </w:t>
      </w:r>
      <w:r w:rsidRPr="00EF5625">
        <w:rPr>
          <w:rStyle w:val="Bodytext210pt"/>
          <w:rFonts w:eastAsia="Calibri"/>
          <w:bCs/>
          <w:color w:val="000000"/>
          <w:sz w:val="18"/>
          <w:lang w:val="es-AR" w:eastAsia="es-ES_tradnl"/>
        </w:rPr>
        <w:t>Trustees</w:t>
      </w:r>
      <w:r w:rsidRPr="00EF5625">
        <w:rPr>
          <w:rStyle w:val="Footnote7pt"/>
          <w:rFonts w:ascii="Times New Roman" w:hAnsi="Times New Roman"/>
          <w:bCs/>
          <w:color w:val="000000"/>
          <w:sz w:val="18"/>
          <w:lang w:val="es-AR" w:eastAsia="es-ES_tradnl"/>
        </w:rPr>
        <w:t xml:space="preserve"> ejercerán el voto de dichas acciones para designar o apartar a directores de cualquier Sociedad de </w:t>
      </w:r>
      <w:r w:rsidRPr="00EF5625">
        <w:rPr>
          <w:rStyle w:val="Bodytext210pt"/>
          <w:rFonts w:eastAsia="Calibri"/>
          <w:bCs/>
          <w:color w:val="000000"/>
          <w:sz w:val="18"/>
          <w:lang w:val="es-AR" w:eastAsia="es-ES_tradnl"/>
        </w:rPr>
        <w:t>Trust</w:t>
      </w:r>
      <w:r w:rsidRPr="00EF5625">
        <w:rPr>
          <w:rStyle w:val="Footnote7pt"/>
          <w:rFonts w:ascii="Times New Roman" w:hAnsi="Times New Roman"/>
          <w:bCs/>
          <w:color w:val="000000"/>
          <w:sz w:val="18"/>
          <w:lang w:val="es-AR" w:eastAsia="es-ES_tradnl"/>
        </w:rPr>
        <w:t xml:space="preserve"> Privada exclusivamente silos Protectores así lo ordenasen por escrito ocasionalmente" (traducción del Tribunal)); Escrito de Contestación (Jurisdicción), párr. 40.</w:t>
      </w:r>
    </w:p>
  </w:footnote>
  <w:footnote w:id="118">
    <w:p w14:paraId="11DFE8D7"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Los Demandantes explican que esto se debe a que, tras la venta, Cayman National Trust Co. Ltd. "le exigiría indemnidades y honorarios más altos porque los bienes restantes del </w:t>
      </w:r>
      <w:r w:rsidRPr="00EF5625">
        <w:rPr>
          <w:rStyle w:val="Bodytext210pt"/>
          <w:rFonts w:eastAsia="Calibri"/>
          <w:bCs/>
          <w:color w:val="000000"/>
          <w:sz w:val="18"/>
          <w:lang w:val="es-AR" w:eastAsia="es-ES_tradnl"/>
        </w:rPr>
        <w:t>Trust</w:t>
      </w:r>
      <w:r w:rsidRPr="00EF5625">
        <w:rPr>
          <w:rStyle w:val="Footnote7pt"/>
          <w:rFonts w:ascii="Times New Roman" w:hAnsi="Times New Roman"/>
          <w:bCs/>
          <w:color w:val="000000"/>
          <w:sz w:val="18"/>
          <w:lang w:val="es-AR" w:eastAsia="es-ES_tradnl"/>
        </w:rPr>
        <w:t xml:space="preserve"> eran proyectos mineros en desarrollo". Escrito de Contestación (Jurisdicción), párr. 38.</w:t>
      </w:r>
    </w:p>
  </w:footnote>
  <w:footnote w:id="119">
    <w:p w14:paraId="55F44530"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Designación y destitución de </w:t>
      </w:r>
      <w:r w:rsidRPr="00EF5625">
        <w:rPr>
          <w:rStyle w:val="Bodytext210pt"/>
          <w:rFonts w:eastAsia="Calibri"/>
          <w:bCs/>
          <w:color w:val="000000"/>
          <w:sz w:val="18"/>
          <w:lang w:val="es-AR" w:eastAsia="es-ES_tradnl"/>
        </w:rPr>
        <w:t>Trustees,</w:t>
      </w:r>
      <w:r w:rsidRPr="00EF5625">
        <w:rPr>
          <w:rStyle w:val="Footnote7pt"/>
          <w:rFonts w:ascii="Times New Roman" w:hAnsi="Times New Roman"/>
          <w:bCs/>
          <w:color w:val="000000"/>
          <w:sz w:val="18"/>
          <w:lang w:val="es-AR" w:eastAsia="es-ES_tradnl"/>
        </w:rPr>
        <w:t xml:space="preserve"> 8 de octubre de 2010 (C-0243).</w:t>
      </w:r>
    </w:p>
  </w:footnote>
  <w:footnote w:id="120">
    <w:p w14:paraId="170F2E69"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Destitución y designación del Comité Protector, 4 de julio de 2011 (C-0245); Declaración testimonial de Sushil Jiwarajka, 11 de junio de 2019, párr. 17 (CWS-6) ("Declaración de Jiwarajka").</w:t>
      </w:r>
    </w:p>
  </w:footnote>
  <w:footnote w:id="121">
    <w:p w14:paraId="3C74422B"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Carta de renuncia, 2 de septiembre de 2013 (C-0246); Carta de Siddharth Mehta a Miari PTC Limited, 2 de septiembre de 2013 (C-0261).</w:t>
      </w:r>
    </w:p>
  </w:footnote>
  <w:footnote w:id="122">
    <w:p w14:paraId="531B4529"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The P. DeviTrust -</w:t>
      </w:r>
      <w:r w:rsidRPr="00EF5625">
        <w:rPr>
          <w:rStyle w:val="Footnote7pt"/>
          <w:rFonts w:ascii="Times New Roman" w:hAnsi="Times New Roman"/>
          <w:bCs/>
          <w:color w:val="000000"/>
          <w:sz w:val="18"/>
          <w:lang w:val="es-AR" w:eastAsia="es-ES_tradnl"/>
        </w:rPr>
        <w:t xml:space="preserve"> Extinción de Poder de Revocación, 20 de diciembre de 2012 (C-0031). La Extinción de Poder indica, en su parte pertinente: "[e]l </w:t>
      </w:r>
      <w:r w:rsidRPr="00EF5625">
        <w:rPr>
          <w:rStyle w:val="Bodytext210pt"/>
          <w:rFonts w:eastAsia="Calibri"/>
          <w:bCs/>
          <w:color w:val="000000"/>
          <w:sz w:val="18"/>
          <w:lang w:val="es-AR" w:eastAsia="es-ES_tradnl"/>
        </w:rPr>
        <w:t>Settlor</w:t>
      </w:r>
      <w:r w:rsidRPr="00EF5625">
        <w:rPr>
          <w:rStyle w:val="Footnote7pt"/>
          <w:rFonts w:ascii="Times New Roman" w:hAnsi="Times New Roman"/>
          <w:bCs/>
          <w:color w:val="000000"/>
          <w:sz w:val="18"/>
          <w:lang w:val="es-AR" w:eastAsia="es-ES_tradnl"/>
        </w:rPr>
        <w:t xml:space="preserve"> libera y extingue de forma irrevocable el Poder de Revocación con la intención de que dicho Poder, a partir de la fecha de la presente escritura, sea inejecutable en relación con el Fondo del </w:t>
      </w:r>
      <w:r w:rsidRPr="00EF5625">
        <w:rPr>
          <w:rStyle w:val="Bodytext210pt"/>
          <w:rFonts w:eastAsia="Calibri"/>
          <w:bCs/>
          <w:color w:val="000000"/>
          <w:sz w:val="18"/>
          <w:lang w:val="es-AR" w:eastAsia="es-ES_tradnl"/>
        </w:rPr>
        <w:t>Trust</w:t>
      </w:r>
      <w:r w:rsidRPr="00EF5625">
        <w:rPr>
          <w:rStyle w:val="Footnote7pt"/>
          <w:rFonts w:ascii="Times New Roman" w:hAnsi="Times New Roman"/>
          <w:bCs/>
          <w:color w:val="000000"/>
          <w:sz w:val="18"/>
          <w:lang w:val="es-AR" w:eastAsia="es-ES_tradnl"/>
        </w:rPr>
        <w:t xml:space="preserve">,en su totalidad o parcialmente, o cualquier otra propiedad sujeta en el presente o en algún momento en el futuro a los </w:t>
      </w:r>
      <w:r w:rsidRPr="00EF5625">
        <w:rPr>
          <w:rStyle w:val="Bodytext210pt"/>
          <w:rFonts w:eastAsia="Calibri"/>
          <w:bCs/>
          <w:color w:val="000000"/>
          <w:sz w:val="18"/>
          <w:lang w:val="es-AR" w:eastAsia="es-ES_tradnl"/>
        </w:rPr>
        <w:t>trusts</w:t>
      </w:r>
      <w:r w:rsidRPr="00EF5625">
        <w:rPr>
          <w:rStyle w:val="Footnote7pt"/>
          <w:rFonts w:ascii="Times New Roman" w:hAnsi="Times New Roman"/>
          <w:bCs/>
          <w:color w:val="000000"/>
          <w:sz w:val="18"/>
          <w:lang w:val="es-AR" w:eastAsia="es-ES_tradnl"/>
        </w:rPr>
        <w:t xml:space="preserve"> del Contrato" (traducción del Tribunal).</w:t>
      </w:r>
    </w:p>
  </w:footnote>
  <w:footnote w:id="123">
    <w:p w14:paraId="5839120E"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44; Segunda declaración de Agarwal, párr. 49 (CWS-9).</w:t>
      </w:r>
    </w:p>
  </w:footnote>
  <w:footnote w:id="124">
    <w:p w14:paraId="20768CF6"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The P. Devi</w:t>
      </w:r>
      <w:r>
        <w:rPr>
          <w:rStyle w:val="Bodytext210pt"/>
          <w:rFonts w:eastAsia="Calibri"/>
          <w:bCs/>
          <w:color w:val="000000"/>
          <w:sz w:val="18"/>
          <w:lang w:val="es-AR" w:eastAsia="es-ES_tradnl"/>
        </w:rPr>
        <w:t xml:space="preserve"> </w:t>
      </w:r>
      <w:r w:rsidRPr="00EF5625">
        <w:rPr>
          <w:rStyle w:val="Bodytext210pt"/>
          <w:rFonts w:eastAsia="Calibri"/>
          <w:bCs/>
          <w:color w:val="000000"/>
          <w:sz w:val="18"/>
          <w:lang w:val="es-AR" w:eastAsia="es-ES_tradnl"/>
        </w:rPr>
        <w:t>Trust -</w:t>
      </w:r>
      <w:r w:rsidRPr="00EF5625">
        <w:rPr>
          <w:rStyle w:val="Footnote7pt"/>
          <w:rFonts w:ascii="Times New Roman" w:hAnsi="Times New Roman"/>
          <w:bCs/>
          <w:color w:val="000000"/>
          <w:sz w:val="18"/>
          <w:lang w:val="es-AR" w:eastAsia="es-ES_tradnl"/>
        </w:rPr>
        <w:t xml:space="preserve"> Contrato, 1 de agosto de 2016, Considerandos, párr. E (C-0032). En diciembre de 2015, Anjani Vasson, uno de los cuatro hijos del Sr. Agarwal, se convirtió en ciudadana naturalizada de los Estados Unidos después de haber residido en el país durante muchos años con su esposo, también ciudadano de los EE. UU. Según los Demandantes, la Sra. Vasson renunció a sus derechos como beneficiaría del </w:t>
      </w:r>
      <w:r w:rsidRPr="00EF5625">
        <w:rPr>
          <w:rStyle w:val="Bodytext210pt"/>
          <w:rFonts w:eastAsia="Calibri"/>
          <w:bCs/>
          <w:color w:val="000000"/>
          <w:sz w:val="18"/>
          <w:lang w:val="es-AR" w:eastAsia="es-ES_tradnl"/>
        </w:rPr>
        <w:t>Trust</w:t>
      </w:r>
      <w:r w:rsidRPr="00EF5625">
        <w:rPr>
          <w:rStyle w:val="Footnote7pt"/>
          <w:rFonts w:ascii="Times New Roman" w:hAnsi="Times New Roman"/>
          <w:bCs/>
          <w:color w:val="000000"/>
          <w:sz w:val="18"/>
          <w:lang w:val="es-AR" w:eastAsia="es-ES_tradnl"/>
        </w:rPr>
        <w:t>P. Devi por motivos tributarios como resultado de su nueva ciudadanía (Escrito de Contestación (Jurisdicción), párr. 45).</w:t>
      </w:r>
    </w:p>
  </w:footnote>
  <w:footnote w:id="125">
    <w:p w14:paraId="7F0A8617"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Escritura de Modificación, Considerandos, párr. C (C-0032) (traducción del Tribunal).</w:t>
      </w:r>
    </w:p>
  </w:footnote>
  <w:footnote w:id="126">
    <w:p w14:paraId="51C7208F"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Id.</w:t>
      </w:r>
      <w:r w:rsidRPr="00EF5625">
        <w:rPr>
          <w:rStyle w:val="Footnote7pt"/>
          <w:rFonts w:ascii="Times New Roman" w:hAnsi="Times New Roman"/>
          <w:bCs/>
          <w:color w:val="000000"/>
          <w:sz w:val="18"/>
          <w:lang w:val="es-AR" w:eastAsia="es-ES_tradnl"/>
        </w:rPr>
        <w:t xml:space="preserve"> en Considerandos, párr. F: "[e]l </w:t>
      </w:r>
      <w:r w:rsidRPr="00EF5625">
        <w:rPr>
          <w:rStyle w:val="Bodytext210pt"/>
          <w:rFonts w:eastAsia="Calibri"/>
          <w:bCs/>
          <w:color w:val="000000"/>
          <w:sz w:val="18"/>
          <w:lang w:val="es-AR" w:eastAsia="es-ES_tradnl"/>
        </w:rPr>
        <w:t>Settlor,</w:t>
      </w:r>
      <w:r w:rsidRPr="00EF5625">
        <w:rPr>
          <w:rStyle w:val="Footnote7pt"/>
          <w:rFonts w:ascii="Times New Roman" w:hAnsi="Times New Roman"/>
          <w:bCs/>
          <w:color w:val="000000"/>
          <w:sz w:val="18"/>
          <w:lang w:val="es-AR" w:eastAsia="es-ES_tradnl"/>
        </w:rPr>
        <w:t xml:space="preserve"> el </w:t>
      </w:r>
      <w:r w:rsidRPr="00EF5625">
        <w:rPr>
          <w:rStyle w:val="Bodytext210pt"/>
          <w:rFonts w:eastAsia="Calibri"/>
          <w:bCs/>
          <w:color w:val="000000"/>
          <w:sz w:val="18"/>
          <w:lang w:val="es-AR" w:eastAsia="es-ES_tradnl"/>
        </w:rPr>
        <w:t>Trustee y</w:t>
      </w:r>
      <w:r w:rsidRPr="00EF5625">
        <w:rPr>
          <w:rStyle w:val="Footnote7pt"/>
          <w:rFonts w:ascii="Times New Roman" w:hAnsi="Times New Roman"/>
          <w:bCs/>
          <w:color w:val="000000"/>
          <w:sz w:val="18"/>
          <w:lang w:val="es-AR" w:eastAsia="es-ES_tradnl"/>
        </w:rPr>
        <w:t xml:space="preserve"> el Comité Protector desean cerciorarse de que los deseos del </w:t>
      </w:r>
      <w:r w:rsidRPr="00EF5625">
        <w:rPr>
          <w:rStyle w:val="Bodytext210pt"/>
          <w:rFonts w:eastAsia="Calibri"/>
          <w:bCs/>
          <w:color w:val="000000"/>
          <w:sz w:val="18"/>
          <w:lang w:val="es-AR" w:eastAsia="es-ES_tradnl"/>
        </w:rPr>
        <w:t>Settlor,</w:t>
      </w:r>
      <w:r w:rsidRPr="00EF5625">
        <w:rPr>
          <w:rStyle w:val="Footnote7pt"/>
          <w:rFonts w:ascii="Times New Roman" w:hAnsi="Times New Roman"/>
          <w:bCs/>
          <w:color w:val="000000"/>
          <w:sz w:val="18"/>
          <w:lang w:val="es-AR" w:eastAsia="es-ES_tradnl"/>
        </w:rPr>
        <w:t xml:space="preserve"> según se expresan en la Carta de Deseos, y los deseos de Anjani Vasson estén reflejados formalmente en las condiciones de la Escritura del </w:t>
      </w:r>
      <w:r w:rsidRPr="00EF5625">
        <w:rPr>
          <w:rStyle w:val="Bodytext210pt"/>
          <w:rFonts w:eastAsia="Calibri"/>
          <w:bCs/>
          <w:color w:val="000000"/>
          <w:sz w:val="18"/>
          <w:lang w:val="es-AR" w:eastAsia="es-ES_tradnl"/>
        </w:rPr>
        <w:t xml:space="preserve">Trust" </w:t>
      </w:r>
      <w:r w:rsidRPr="00EF5625">
        <w:rPr>
          <w:rStyle w:val="Footnote7pt"/>
          <w:rFonts w:ascii="Times New Roman" w:hAnsi="Times New Roman"/>
          <w:bCs/>
          <w:color w:val="000000"/>
          <w:sz w:val="18"/>
          <w:lang w:val="es-AR" w:eastAsia="es-ES_tradnl"/>
        </w:rPr>
        <w:t>(traducción del Tribunal).</w:t>
      </w:r>
    </w:p>
  </w:footnote>
  <w:footnote w:id="127">
    <w:p w14:paraId="5F38DFB2"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Id.</w:t>
      </w:r>
      <w:r w:rsidRPr="00EF5625">
        <w:rPr>
          <w:rStyle w:val="Footnote7pt"/>
          <w:rFonts w:ascii="Times New Roman" w:hAnsi="Times New Roman"/>
          <w:bCs/>
          <w:color w:val="000000"/>
          <w:sz w:val="18"/>
          <w:lang w:val="es-AR" w:eastAsia="es-ES_tradnl"/>
        </w:rPr>
        <w:t xml:space="preserve"> en cláusula 1.</w:t>
      </w:r>
    </w:p>
  </w:footnote>
  <w:footnote w:id="128">
    <w:p w14:paraId="23EA9006" w14:textId="77777777" w:rsidR="003468CF" w:rsidRPr="00EF5625" w:rsidRDefault="003468CF" w:rsidP="00AE5C72">
      <w:pPr>
        <w:pStyle w:val="Footnote30"/>
        <w:shd w:val="clear" w:color="auto" w:fill="auto"/>
        <w:tabs>
          <w:tab w:val="left" w:pos="284"/>
        </w:tabs>
        <w:spacing w:before="180" w:line="240" w:lineRule="auto"/>
        <w:rPr>
          <w:rFonts w:ascii="Times New Roman" w:hAnsi="Times New Roman"/>
          <w:b w:val="0"/>
          <w:sz w:val="18"/>
          <w:lang w:val="es-AR"/>
        </w:rPr>
      </w:pPr>
      <w:r w:rsidRPr="00EF5625">
        <w:rPr>
          <w:rStyle w:val="Footnote38pt"/>
          <w:rFonts w:ascii="Times New Roman" w:hAnsi="Times New Roman"/>
          <w:bCs/>
          <w:i/>
          <w:iCs/>
          <w:color w:val="000000"/>
          <w:sz w:val="18"/>
          <w:vertAlign w:val="superscript"/>
          <w:lang w:eastAsia="es-ES_tradnl"/>
        </w:rPr>
        <w:footnoteRef/>
      </w:r>
      <w:r w:rsidRPr="00EF5625">
        <w:rPr>
          <w:rStyle w:val="Footnote38pt"/>
          <w:rFonts w:ascii="Times New Roman" w:hAnsi="Times New Roman"/>
          <w:bCs/>
          <w:i/>
          <w:iCs/>
          <w:color w:val="000000"/>
          <w:sz w:val="18"/>
          <w:lang w:val="es-AR" w:eastAsia="es-ES_tradnl"/>
        </w:rPr>
        <w:tab/>
        <w:t>Id.en 3(a) (traducción del Tribunal).</w:t>
      </w:r>
    </w:p>
  </w:footnote>
  <w:footnote w:id="129">
    <w:p w14:paraId="78A40048"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Id.</w:t>
      </w:r>
      <w:r w:rsidRPr="00EF5625">
        <w:rPr>
          <w:rStyle w:val="Footnote7pt"/>
          <w:rFonts w:ascii="Times New Roman" w:hAnsi="Times New Roman"/>
          <w:bCs/>
          <w:color w:val="000000"/>
          <w:sz w:val="18"/>
          <w:lang w:val="es-AR" w:eastAsia="es-ES_tradnl"/>
        </w:rPr>
        <w:t xml:space="preserve"> en 3(b) (traducción del Tribunal).</w:t>
      </w:r>
    </w:p>
  </w:footnote>
  <w:footnote w:id="130">
    <w:p w14:paraId="46ABBCA6"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Id.</w:t>
      </w:r>
      <w:r w:rsidRPr="00EF5625">
        <w:rPr>
          <w:rStyle w:val="Footnote7pt"/>
          <w:rFonts w:ascii="Times New Roman" w:hAnsi="Times New Roman"/>
          <w:bCs/>
          <w:color w:val="000000"/>
          <w:sz w:val="18"/>
          <w:lang w:val="es-AR" w:eastAsia="es-ES_tradnl"/>
        </w:rPr>
        <w:t xml:space="preserve"> en 4 (traducción del Tribunal).</w:t>
      </w:r>
    </w:p>
  </w:footnote>
  <w:footnote w:id="131">
    <w:p w14:paraId="4570F4C3"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Trust,</w:t>
      </w:r>
      <w:r w:rsidRPr="00EF5625">
        <w:rPr>
          <w:rStyle w:val="Footnote7pt"/>
          <w:rFonts w:ascii="Times New Roman" w:hAnsi="Times New Roman"/>
          <w:bCs/>
          <w:color w:val="000000"/>
          <w:sz w:val="18"/>
          <w:lang w:val="es-AR" w:eastAsia="es-ES_tradnl"/>
        </w:rPr>
        <w:t xml:space="preserve"> cláusulas 2, 10, 17, 19 (C-0029).</w:t>
      </w:r>
    </w:p>
  </w:footnote>
  <w:footnote w:id="132">
    <w:p w14:paraId="196AA91F"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Memorial (Jurisdicción), párr. 16; Primer informe pericial de Rachael Reynolds, 29 de noviembre de 2018, párr. 16 (RER-1) ("Primer informe de Reynolds"); Ley de </w:t>
      </w:r>
      <w:r w:rsidRPr="00EF5625">
        <w:rPr>
          <w:rStyle w:val="Bodytext210pt"/>
          <w:rFonts w:eastAsia="Calibri"/>
          <w:bCs/>
          <w:color w:val="000000"/>
          <w:sz w:val="18"/>
          <w:lang w:val="es-AR" w:eastAsia="es-ES_tradnl"/>
        </w:rPr>
        <w:t>Trusts</w:t>
      </w:r>
      <w:r w:rsidRPr="00EF5625">
        <w:rPr>
          <w:rStyle w:val="Footnote7pt"/>
          <w:rFonts w:ascii="Times New Roman" w:hAnsi="Times New Roman"/>
          <w:bCs/>
          <w:color w:val="000000"/>
          <w:sz w:val="18"/>
          <w:lang w:val="es-AR" w:eastAsia="es-ES_tradnl"/>
        </w:rPr>
        <w:t xml:space="preserve"> de las Islas Caimán de 2018, art. 90 (RR-005).</w:t>
      </w:r>
    </w:p>
  </w:footnote>
  <w:footnote w:id="133">
    <w:p w14:paraId="2BE6BA4B"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Memorial (Jurisdicción), párr. 17.</w:t>
      </w:r>
    </w:p>
  </w:footnote>
  <w:footnote w:id="134">
    <w:p w14:paraId="4D859348"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Coutts (Cayman) Ltd. c. Lemos,</w:t>
      </w:r>
      <w:r w:rsidRPr="00EF5625">
        <w:rPr>
          <w:rStyle w:val="Footnote7pt"/>
          <w:rFonts w:ascii="Times New Roman" w:hAnsi="Times New Roman"/>
          <w:bCs/>
          <w:color w:val="000000"/>
          <w:sz w:val="18"/>
          <w:lang w:val="es-AR" w:eastAsia="es-ES_tradnl"/>
        </w:rPr>
        <w:t xml:space="preserve"> CILR 336, 2006, párr. 9 (RR-011).</w:t>
      </w:r>
    </w:p>
  </w:footnote>
  <w:footnote w:id="135">
    <w:p w14:paraId="1870084D"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Memorial (Jurisdicción), párr. 19.</w:t>
      </w:r>
    </w:p>
  </w:footnote>
  <w:footnote w:id="136">
    <w:p w14:paraId="1CFB2EF7"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Primer informe de Reynolds, párrs. 24-25 (RER-1).</w:t>
      </w:r>
    </w:p>
  </w:footnote>
  <w:footnote w:id="137">
    <w:p w14:paraId="6B458E06"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Memorial (Jurisdicción), párr. 3; </w:t>
      </w:r>
      <w:r w:rsidRPr="00EF5625">
        <w:rPr>
          <w:rStyle w:val="Bodytext210pt"/>
          <w:rFonts w:eastAsia="Calibri"/>
          <w:bCs/>
          <w:color w:val="000000"/>
          <w:sz w:val="18"/>
          <w:lang w:val="es-AR" w:eastAsia="es-ES_tradnl"/>
        </w:rPr>
        <w:t>Trust,</w:t>
      </w:r>
      <w:r w:rsidRPr="00EF5625">
        <w:rPr>
          <w:rStyle w:val="Footnote7pt"/>
          <w:rFonts w:ascii="Times New Roman" w:hAnsi="Times New Roman"/>
          <w:bCs/>
          <w:color w:val="000000"/>
          <w:sz w:val="18"/>
          <w:lang w:val="es-AR" w:eastAsia="es-ES_tradnl"/>
        </w:rPr>
        <w:t xml:space="preserve"> cláusula 10 (C-0029).</w:t>
      </w:r>
    </w:p>
  </w:footnote>
  <w:footnote w:id="138">
    <w:p w14:paraId="66666347"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párrs. 122-123; Tr. audiencia, día 15, 3811:18-3812:22.</w:t>
      </w:r>
    </w:p>
  </w:footnote>
  <w:footnote w:id="139">
    <w:p w14:paraId="00FB989A"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Primer informe de Reynolds, párr. 43a (RER-1) (énfasis en el original).</w:t>
      </w:r>
    </w:p>
  </w:footnote>
  <w:footnote w:id="140">
    <w:p w14:paraId="4F19FE72"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Memorial (Jurisdicción), párr. 2; Réplica (Jurisdicción), párr. 9.</w:t>
      </w:r>
    </w:p>
  </w:footnote>
  <w:footnote w:id="141">
    <w:p w14:paraId="33434597"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Memorial (Jurisdicción), párr. 28; Primer informe de Reynolds, párr. 32 (RER-1).</w:t>
      </w:r>
    </w:p>
  </w:footnote>
  <w:footnote w:id="142">
    <w:p w14:paraId="36D17F8F"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 128.</w:t>
      </w:r>
    </w:p>
  </w:footnote>
  <w:footnote w:id="143">
    <w:p w14:paraId="1E17524A"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Memorial (Jurisdicción), párrs. 29-30.</w:t>
      </w:r>
    </w:p>
  </w:footnote>
  <w:footnote w:id="144">
    <w:p w14:paraId="7FBCA357"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Memorial (Jurisdicción), nota 37 (énfasis omitido); Primer informe de Reynolds, párr. 34 (RER-1).</w:t>
      </w:r>
    </w:p>
  </w:footnote>
  <w:footnote w:id="145">
    <w:p w14:paraId="02D3453C"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Memorial (Jurisdicción), nota 34; Escritura de Modificación, pág. 2 (C-0032): "[e]l </w:t>
      </w:r>
      <w:r w:rsidRPr="00EF5625">
        <w:rPr>
          <w:rStyle w:val="Bodytext210pt"/>
          <w:rFonts w:eastAsia="Calibri"/>
          <w:bCs/>
          <w:color w:val="000000"/>
          <w:sz w:val="18"/>
          <w:lang w:val="es-AR" w:eastAsia="es-ES_tradnl"/>
        </w:rPr>
        <w:t>Settlor,</w:t>
      </w:r>
      <w:r w:rsidRPr="00EF5625">
        <w:rPr>
          <w:rStyle w:val="Footnote7pt"/>
          <w:rFonts w:ascii="Times New Roman" w:hAnsi="Times New Roman"/>
          <w:bCs/>
          <w:color w:val="000000"/>
          <w:sz w:val="18"/>
          <w:lang w:val="es-AR" w:eastAsia="es-ES_tradnl"/>
        </w:rPr>
        <w:t xml:space="preserve"> el </w:t>
      </w:r>
      <w:r w:rsidRPr="00EF5625">
        <w:rPr>
          <w:rStyle w:val="Bodytext210pt"/>
          <w:rFonts w:eastAsia="Calibri"/>
          <w:bCs/>
          <w:color w:val="000000"/>
          <w:sz w:val="18"/>
          <w:lang w:val="es-AR" w:eastAsia="es-ES_tradnl"/>
        </w:rPr>
        <w:t>Trustee</w:t>
      </w:r>
      <w:r w:rsidRPr="00EF5625">
        <w:rPr>
          <w:rStyle w:val="Footnote7pt"/>
          <w:rFonts w:ascii="Times New Roman" w:hAnsi="Times New Roman"/>
          <w:bCs/>
          <w:color w:val="000000"/>
          <w:sz w:val="18"/>
          <w:lang w:val="es-AR" w:eastAsia="es-ES_tradnl"/>
        </w:rPr>
        <w:t xml:space="preserve"> y el Comité Protector desean cerciorarse de que los deseos del </w:t>
      </w:r>
      <w:r w:rsidRPr="00EF5625">
        <w:rPr>
          <w:rStyle w:val="Bodytext210pt"/>
          <w:rFonts w:eastAsia="Calibri"/>
          <w:bCs/>
          <w:color w:val="000000"/>
          <w:sz w:val="18"/>
          <w:lang w:val="es-AR" w:eastAsia="es-ES_tradnl"/>
        </w:rPr>
        <w:t>Settlor,</w:t>
      </w:r>
      <w:r w:rsidRPr="00EF5625">
        <w:rPr>
          <w:rStyle w:val="Footnote7pt"/>
          <w:rFonts w:ascii="Times New Roman" w:hAnsi="Times New Roman"/>
          <w:bCs/>
          <w:color w:val="000000"/>
          <w:sz w:val="18"/>
          <w:lang w:val="es-AR" w:eastAsia="es-ES_tradnl"/>
        </w:rPr>
        <w:t xml:space="preserve"> según se expresan en la Carta de Deseos [...] estén reflejados formalmente en las condiciones de la Escritura del </w:t>
      </w:r>
      <w:r w:rsidRPr="00EF5625">
        <w:rPr>
          <w:rStyle w:val="Bodytext210pt"/>
          <w:rFonts w:eastAsia="Calibri"/>
          <w:bCs/>
          <w:color w:val="000000"/>
          <w:sz w:val="18"/>
          <w:lang w:val="es-AR" w:eastAsia="es-ES_tradnl"/>
        </w:rPr>
        <w:t>Trust</w:t>
      </w:r>
      <w:r w:rsidRPr="00EF5625">
        <w:rPr>
          <w:rStyle w:val="Footnote7pt"/>
          <w:rFonts w:ascii="Times New Roman" w:hAnsi="Times New Roman"/>
          <w:bCs/>
          <w:color w:val="000000"/>
          <w:sz w:val="18"/>
          <w:lang w:val="es-AR" w:eastAsia="es-ES_tradnl"/>
        </w:rPr>
        <w:t>"(traducción del Tribunal).</w:t>
      </w:r>
    </w:p>
  </w:footnote>
  <w:footnote w:id="146">
    <w:p w14:paraId="7E13AF63"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 151; Tr. audiencia, día 15, 3804:18-3806:11.</w:t>
      </w:r>
    </w:p>
  </w:footnote>
  <w:footnote w:id="147">
    <w:p w14:paraId="543C69B1"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Réplica (Jurisdicción), párr. 148; </w:t>
      </w:r>
      <w:r w:rsidRPr="00EF5625">
        <w:rPr>
          <w:rStyle w:val="Bodytext210pt"/>
          <w:rFonts w:eastAsia="Calibri"/>
          <w:bCs/>
          <w:color w:val="000000"/>
          <w:sz w:val="18"/>
          <w:lang w:val="es-AR" w:eastAsia="es-ES_tradnl"/>
        </w:rPr>
        <w:t>ENRC NV c. Zamin Eerrous Limited,</w:t>
      </w:r>
      <w:r w:rsidRPr="00EF5625">
        <w:rPr>
          <w:rStyle w:val="Footnote7pt"/>
          <w:rFonts w:ascii="Times New Roman" w:hAnsi="Times New Roman"/>
          <w:bCs/>
          <w:color w:val="000000"/>
          <w:sz w:val="18"/>
          <w:lang w:val="es-AR" w:eastAsia="es-ES_tradnl"/>
        </w:rPr>
        <w:t xml:space="preserve"> Corte Real (Samedi) de Jersey, Fallo, 27 de octubre de 2015, párr. 14 (R-0166); Tr. audiencia, día 15, 3809:13-3811:6.</w:t>
      </w:r>
    </w:p>
  </w:footnote>
  <w:footnote w:id="148">
    <w:p w14:paraId="2CAF9E78"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Memorial (Jurisdicción), nota 36 (énfasis en el original).</w:t>
      </w:r>
    </w:p>
  </w:footnote>
  <w:footnote w:id="149">
    <w:p w14:paraId="685F1C09"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párrs. 15, 28.</w:t>
      </w:r>
    </w:p>
  </w:footnote>
  <w:footnote w:id="150">
    <w:p w14:paraId="23C37930"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 89; Escrito de Contestación (Jurisdicción), párr. 92.</w:t>
      </w:r>
    </w:p>
  </w:footnote>
  <w:footnote w:id="151">
    <w:p w14:paraId="1D0CD9D7"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 43.</w:t>
      </w:r>
    </w:p>
  </w:footnote>
  <w:footnote w:id="152">
    <w:p w14:paraId="110DD7D0"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 115.</w:t>
      </w:r>
    </w:p>
  </w:footnote>
  <w:footnote w:id="153">
    <w:p w14:paraId="5B1CFDB5"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 117.</w:t>
      </w:r>
    </w:p>
  </w:footnote>
  <w:footnote w:id="154">
    <w:p w14:paraId="023DFCF9"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 153.</w:t>
      </w:r>
    </w:p>
  </w:footnote>
  <w:footnote w:id="155">
    <w:p w14:paraId="1F1E855F"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Réplica (Jurisdicción), párr. 156. En la audiencia, la Demandada observó que, si alguna de las sociedades dependientes del </w:t>
      </w:r>
      <w:r w:rsidRPr="00EF5625">
        <w:rPr>
          <w:rStyle w:val="Bodytext210pt"/>
          <w:rFonts w:eastAsia="Calibri"/>
          <w:bCs/>
          <w:color w:val="000000"/>
          <w:sz w:val="18"/>
          <w:lang w:val="es-AR" w:eastAsia="es-ES_tradnl"/>
        </w:rPr>
        <w:t>Trust</w:t>
      </w:r>
      <w:r w:rsidRPr="00EF5625">
        <w:rPr>
          <w:rStyle w:val="Footnote7pt"/>
          <w:rFonts w:ascii="Times New Roman" w:hAnsi="Times New Roman"/>
          <w:bCs/>
          <w:color w:val="000000"/>
          <w:sz w:val="18"/>
          <w:lang w:val="es-AR" w:eastAsia="es-ES_tradnl"/>
        </w:rPr>
        <w:t xml:space="preserve"> hubiese estado registrada en Gran Bretaña, habría estado potencialmente habilitada para plantear una pretensión al amparo del TBI (Tr. audiencia, día 15, 3816:18-3818:14).</w:t>
      </w:r>
    </w:p>
  </w:footnote>
  <w:footnote w:id="156">
    <w:p w14:paraId="70EF47BB"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Acuerdo de Compra Venta entre Cayman Trust Co. Ltd. e Ian Phillips, 2 de abril de 2008, pág. 7 (R-0218); Réplica (Jurisdicción), párr. 154.</w:t>
      </w:r>
    </w:p>
  </w:footnote>
  <w:footnote w:id="157">
    <w:p w14:paraId="269FC6F3"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 155.</w:t>
      </w:r>
    </w:p>
  </w:footnote>
  <w:footnote w:id="158">
    <w:p w14:paraId="5AA00F0C"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 57; Escrito de Contestación (Jurisdicción), párr. 98.</w:t>
      </w:r>
    </w:p>
  </w:footnote>
  <w:footnote w:id="159">
    <w:p w14:paraId="496E3718"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párrs. 58-60.</w:t>
      </w:r>
    </w:p>
  </w:footnote>
  <w:footnote w:id="160">
    <w:p w14:paraId="2444779A"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Réplica (Jurisdicción), párrs. 62-70; </w:t>
      </w:r>
      <w:r w:rsidRPr="00EF5625">
        <w:rPr>
          <w:rStyle w:val="Footnote8pt1"/>
          <w:rFonts w:ascii="Times New Roman" w:hAnsi="Times New Roman"/>
          <w:bCs/>
          <w:color w:val="000000"/>
          <w:sz w:val="18"/>
          <w:lang w:val="es-AR" w:eastAsia="es-ES_tradnl"/>
        </w:rPr>
        <w:t>William Nagel c. República Checa,</w:t>
      </w:r>
      <w:r w:rsidRPr="00EF5625">
        <w:rPr>
          <w:rStyle w:val="Footnote7pt1"/>
          <w:rFonts w:ascii="Times New Roman" w:hAnsi="Times New Roman"/>
          <w:bCs/>
          <w:color w:val="000000"/>
          <w:sz w:val="18"/>
          <w:lang w:val="es-AR" w:eastAsia="es-ES_tradnl"/>
        </w:rPr>
        <w:t xml:space="preserve"> Caso CCE No. 049/2002, Laudo, 9 de septiembre de 2003, párr. 325 </w:t>
      </w:r>
      <w:r w:rsidRPr="00EF5625">
        <w:rPr>
          <w:rStyle w:val="Footnote7pt"/>
          <w:rFonts w:ascii="Times New Roman" w:hAnsi="Times New Roman"/>
          <w:bCs/>
          <w:color w:val="000000"/>
          <w:sz w:val="18"/>
          <w:lang w:val="es-AR" w:eastAsia="es-ES_tradnl"/>
        </w:rPr>
        <w:t xml:space="preserve">(RLA-0178); </w:t>
      </w:r>
      <w:r w:rsidRPr="00EF5625">
        <w:rPr>
          <w:rStyle w:val="Footnote8pt1"/>
          <w:rFonts w:ascii="Times New Roman" w:hAnsi="Times New Roman"/>
          <w:bCs/>
          <w:color w:val="000000"/>
          <w:sz w:val="18"/>
          <w:lang w:val="es-AR" w:eastAsia="es-ES_tradnl"/>
        </w:rPr>
        <w:t>JoyMiningMachineryLimited c. República Arabe de Egipto,</w:t>
      </w:r>
      <w:r w:rsidRPr="00EF5625">
        <w:rPr>
          <w:rStyle w:val="Footnote7pt1"/>
          <w:rFonts w:ascii="Times New Roman" w:hAnsi="Times New Roman"/>
          <w:bCs/>
          <w:color w:val="000000"/>
          <w:sz w:val="18"/>
          <w:lang w:val="es-AR" w:eastAsia="es-ES_tradnl"/>
        </w:rPr>
        <w:t xml:space="preserve"> Caso CIADI No. ARB/03/11, Laudo sobre Jurisdicción, 6 de agosto de</w:t>
      </w:r>
      <w:r w:rsidRPr="00EF5625">
        <w:rPr>
          <w:rStyle w:val="Footnote7pt1"/>
          <w:rFonts w:ascii="Times New Roman" w:hAnsi="Times New Roman"/>
          <w:bCs/>
          <w:color w:val="000000"/>
          <w:sz w:val="18"/>
          <w:lang w:val="es-AR" w:eastAsia="es-ES_tradnl"/>
        </w:rPr>
        <w:tab/>
        <w:t>2004, párrs. 17</w:t>
      </w:r>
      <w:r w:rsidRPr="00EF5625">
        <w:rPr>
          <w:rStyle w:val="Footnote7pt"/>
          <w:rFonts w:ascii="Times New Roman" w:hAnsi="Times New Roman"/>
          <w:bCs/>
          <w:color w:val="000000"/>
          <w:sz w:val="18"/>
          <w:lang w:val="es-AR" w:eastAsia="es-ES_tradnl"/>
        </w:rPr>
        <w:t xml:space="preserve">, </w:t>
      </w:r>
      <w:r w:rsidRPr="00EF5625">
        <w:rPr>
          <w:rStyle w:val="Footnote7pt1"/>
          <w:rFonts w:ascii="Times New Roman" w:hAnsi="Times New Roman"/>
          <w:bCs/>
          <w:color w:val="000000"/>
          <w:sz w:val="18"/>
          <w:lang w:val="es-AR" w:eastAsia="es-ES_tradnl"/>
        </w:rPr>
        <w:t xml:space="preserve">42-47 </w:t>
      </w:r>
      <w:r w:rsidRPr="00EF5625">
        <w:rPr>
          <w:rStyle w:val="Footnote7pt"/>
          <w:rFonts w:ascii="Times New Roman" w:hAnsi="Times New Roman"/>
          <w:bCs/>
          <w:color w:val="000000"/>
          <w:sz w:val="18"/>
          <w:lang w:val="es-AR" w:eastAsia="es-ES_tradnl"/>
        </w:rPr>
        <w:t>(RLA-0182).</w:t>
      </w:r>
    </w:p>
  </w:footnote>
  <w:footnote w:id="161">
    <w:p w14:paraId="71AD074A"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 82; Tr. audiencia, día 15, 3820:22-3823:2.</w:t>
      </w:r>
    </w:p>
  </w:footnote>
  <w:footnote w:id="162">
    <w:p w14:paraId="15FD9281"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párrs. 74, 80, 83-84.</w:t>
      </w:r>
    </w:p>
  </w:footnote>
  <w:footnote w:id="163">
    <w:p w14:paraId="3BEA12A4"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 85.</w:t>
      </w:r>
    </w:p>
  </w:footnote>
  <w:footnote w:id="164">
    <w:p w14:paraId="1DD9E4C3"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 87.</w:t>
      </w:r>
    </w:p>
  </w:footnote>
  <w:footnote w:id="165">
    <w:p w14:paraId="4B29D5BF"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Memorial (Jurisdicción), párr. 32; Escritura de Modificación, cláusula 3 (C-0032).</w:t>
      </w:r>
    </w:p>
  </w:footnote>
  <w:footnote w:id="166">
    <w:p w14:paraId="1EF9D01D"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Memorial (Jurisdicción), párr. 31.</w:t>
      </w:r>
    </w:p>
  </w:footnote>
  <w:footnote w:id="167">
    <w:p w14:paraId="70B1A633"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Memorial (Jurisdicción), párr. 32; Tr. audiencia, día 15, 3815:1-3816:1.</w:t>
      </w:r>
    </w:p>
  </w:footnote>
  <w:footnote w:id="168">
    <w:p w14:paraId="6A41DF2C"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párrs. 10-12.</w:t>
      </w:r>
    </w:p>
  </w:footnote>
  <w:footnote w:id="169">
    <w:p w14:paraId="7C1B8382"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Memorial (Jurisdicción), párr. 34.</w:t>
      </w:r>
    </w:p>
  </w:footnote>
  <w:footnote w:id="170">
    <w:p w14:paraId="4690FAFA"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bookmarkStart w:id="76" w:name="bookmark3"/>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párrs. 21, 165, 174.</w:t>
      </w:r>
      <w:bookmarkEnd w:id="76"/>
    </w:p>
  </w:footnote>
  <w:footnote w:id="171">
    <w:p w14:paraId="42F92043"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Réplica (Jurisdicción), párrs. 160-162; </w:t>
      </w:r>
      <w:r w:rsidRPr="00EF5625">
        <w:rPr>
          <w:rStyle w:val="Footnote8pt1"/>
          <w:rFonts w:ascii="Times New Roman" w:hAnsi="Times New Roman"/>
          <w:bCs/>
          <w:color w:val="000000"/>
          <w:sz w:val="18"/>
          <w:lang w:val="es-AR" w:eastAsia="es-ES_tradnl"/>
        </w:rPr>
        <w:t>Mobil Corporation, Venezuela Holdings, B.V. et al. c. República Bolivariana de Venezuela,</w:t>
      </w:r>
      <w:r w:rsidRPr="00EF5625">
        <w:rPr>
          <w:rStyle w:val="Footnote7pt1"/>
          <w:rFonts w:ascii="Times New Roman" w:hAnsi="Times New Roman"/>
          <w:bCs/>
          <w:color w:val="000000"/>
          <w:sz w:val="18"/>
          <w:lang w:val="es-AR" w:eastAsia="es-ES_tradnl"/>
        </w:rPr>
        <w:t xml:space="preserve"> Caso CIADI No. ARB/07/27, Decisión sobre Jurisdicción, 10 de junio de 2010, párr. 205 </w:t>
      </w:r>
      <w:r w:rsidRPr="00EF5625">
        <w:rPr>
          <w:rStyle w:val="Footnote7pt"/>
          <w:rFonts w:ascii="Times New Roman" w:hAnsi="Times New Roman"/>
          <w:bCs/>
          <w:color w:val="000000"/>
          <w:sz w:val="18"/>
          <w:lang w:val="es-AR" w:eastAsia="es-ES_tradnl"/>
        </w:rPr>
        <w:t xml:space="preserve">(RLA-0201); </w:t>
      </w:r>
      <w:r w:rsidRPr="00EF5625">
        <w:rPr>
          <w:rStyle w:val="Footnote8pt1"/>
          <w:rFonts w:ascii="Times New Roman" w:hAnsi="Times New Roman"/>
          <w:bCs/>
          <w:color w:val="000000"/>
          <w:sz w:val="18"/>
          <w:lang w:val="es-AR" w:eastAsia="es-ES_tradnl"/>
        </w:rPr>
        <w:t>TidewaterInc. etal. c. República Bolivariana de Venezuela,</w:t>
      </w:r>
      <w:r w:rsidRPr="00EF5625">
        <w:rPr>
          <w:rStyle w:val="Footnote7pt1"/>
          <w:rFonts w:ascii="Times New Roman" w:hAnsi="Times New Roman"/>
          <w:bCs/>
          <w:color w:val="000000"/>
          <w:sz w:val="18"/>
          <w:lang w:val="es-AR" w:eastAsia="es-ES_tradnl"/>
        </w:rPr>
        <w:t xml:space="preserve"> Caso CIADI No. ARB/10/5, Decisión sobre Jurisdicción, 8 de febrero de 2013, párr. 184 </w:t>
      </w:r>
      <w:r w:rsidRPr="00EF5625">
        <w:rPr>
          <w:rStyle w:val="Footnote7pt"/>
          <w:rFonts w:ascii="Times New Roman" w:hAnsi="Times New Roman"/>
          <w:bCs/>
          <w:color w:val="000000"/>
          <w:sz w:val="18"/>
          <w:lang w:val="es-AR" w:eastAsia="es-ES_tradnl"/>
        </w:rPr>
        <w:t xml:space="preserve">(RLA-0211); </w:t>
      </w:r>
      <w:r w:rsidRPr="00EF5625">
        <w:rPr>
          <w:rStyle w:val="Footnote8pt1"/>
          <w:rFonts w:ascii="Times New Roman" w:hAnsi="Times New Roman"/>
          <w:bCs/>
          <w:color w:val="000000"/>
          <w:sz w:val="18"/>
          <w:lang w:val="es-AR" w:eastAsia="es-ES_tradnl"/>
        </w:rPr>
        <w:t>PhoenixAction, Ltd. c. República Checa,</w:t>
      </w:r>
      <w:r w:rsidRPr="00EF5625">
        <w:rPr>
          <w:rStyle w:val="Footnote7pt1"/>
          <w:rFonts w:ascii="Times New Roman" w:hAnsi="Times New Roman"/>
          <w:bCs/>
          <w:color w:val="000000"/>
          <w:sz w:val="18"/>
          <w:lang w:val="es-AR" w:eastAsia="es-ES_tradnl"/>
        </w:rPr>
        <w:t xml:space="preserve"> Caso CIADI No. ARB/06/5, Laudo, 15 de abril de 2009, párr. 142 </w:t>
      </w:r>
      <w:r w:rsidRPr="00EF5625">
        <w:rPr>
          <w:rStyle w:val="Footnote7pt"/>
          <w:rFonts w:ascii="Times New Roman" w:hAnsi="Times New Roman"/>
          <w:bCs/>
          <w:color w:val="000000"/>
          <w:sz w:val="18"/>
          <w:lang w:val="es-AR" w:eastAsia="es-ES_tradnl"/>
        </w:rPr>
        <w:t>(RLA-0068).</w:t>
      </w:r>
    </w:p>
  </w:footnote>
  <w:footnote w:id="172">
    <w:p w14:paraId="6A578334"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Réplica (Jurisdicción), párrs. 171-173; </w:t>
      </w:r>
      <w:r w:rsidRPr="00EF5625">
        <w:rPr>
          <w:rStyle w:val="Footnote8pt1"/>
          <w:rFonts w:ascii="Times New Roman" w:hAnsi="Times New Roman"/>
          <w:bCs/>
          <w:color w:val="000000"/>
          <w:sz w:val="18"/>
          <w:lang w:val="es-AR" w:eastAsia="es-ES_tradnl"/>
        </w:rPr>
        <w:t>Renée Rose Levy y Gremcitel</w:t>
      </w:r>
      <w:r w:rsidRPr="00EF5625">
        <w:rPr>
          <w:rStyle w:val="Footnote7pt1"/>
          <w:rFonts w:ascii="Times New Roman" w:hAnsi="Times New Roman"/>
          <w:bCs/>
          <w:color w:val="000000"/>
          <w:sz w:val="18"/>
          <w:lang w:val="es-AR" w:eastAsia="es-ES_tradnl"/>
        </w:rPr>
        <w:t xml:space="preserve"> </w:t>
      </w:r>
      <w:r w:rsidRPr="009C4298">
        <w:rPr>
          <w:rStyle w:val="Footnote7pt1"/>
          <w:rFonts w:ascii="Times New Roman" w:hAnsi="Times New Roman"/>
          <w:bCs/>
          <w:i/>
          <w:color w:val="000000"/>
          <w:sz w:val="18"/>
          <w:lang w:val="es-AR" w:eastAsia="es-ES_tradnl"/>
        </w:rPr>
        <w:t>S.A.</w:t>
      </w:r>
      <w:r w:rsidRPr="00EF5625">
        <w:rPr>
          <w:rStyle w:val="Footnote7pt1"/>
          <w:rFonts w:ascii="Times New Roman" w:hAnsi="Times New Roman"/>
          <w:bCs/>
          <w:color w:val="000000"/>
          <w:sz w:val="18"/>
          <w:lang w:val="es-AR" w:eastAsia="es-ES_tradnl"/>
        </w:rPr>
        <w:t xml:space="preserve"> </w:t>
      </w:r>
      <w:r w:rsidRPr="00EF5625">
        <w:rPr>
          <w:rStyle w:val="Footnote8pt1"/>
          <w:rFonts w:ascii="Times New Roman" w:hAnsi="Times New Roman"/>
          <w:bCs/>
          <w:color w:val="000000"/>
          <w:sz w:val="18"/>
          <w:lang w:val="es-AR" w:eastAsia="es-ES_tradnl"/>
        </w:rPr>
        <w:t>c. República del Perú,</w:t>
      </w:r>
      <w:r w:rsidRPr="00EF5625">
        <w:rPr>
          <w:rStyle w:val="Footnote7pt1"/>
          <w:rFonts w:ascii="Times New Roman" w:hAnsi="Times New Roman"/>
          <w:bCs/>
          <w:color w:val="000000"/>
          <w:sz w:val="18"/>
          <w:lang w:val="es-AR" w:eastAsia="es-ES_tradnl"/>
        </w:rPr>
        <w:t xml:space="preserve"> Caso CIADI No. ARB/11/17, Laudo, 9 de enero de 2015, párr. 191 </w:t>
      </w:r>
      <w:r w:rsidRPr="00EF5625">
        <w:rPr>
          <w:rStyle w:val="Footnote7pt"/>
          <w:rFonts w:ascii="Times New Roman" w:hAnsi="Times New Roman"/>
          <w:bCs/>
          <w:color w:val="000000"/>
          <w:sz w:val="18"/>
          <w:lang w:val="es-AR" w:eastAsia="es-ES_tradnl"/>
        </w:rPr>
        <w:t xml:space="preserve">(RLA-0135); </w:t>
      </w:r>
      <w:r w:rsidRPr="00EF5625">
        <w:rPr>
          <w:rStyle w:val="Footnote8pt1"/>
          <w:rFonts w:ascii="Times New Roman" w:hAnsi="Times New Roman"/>
          <w:bCs/>
          <w:color w:val="000000"/>
          <w:sz w:val="18"/>
          <w:lang w:val="es-AR" w:eastAsia="es-ES_tradnl"/>
        </w:rPr>
        <w:t>Philip Morris Asia Limited c. Australia,</w:t>
      </w:r>
      <w:r w:rsidRPr="00EF5625">
        <w:rPr>
          <w:rStyle w:val="Footnote7pt1"/>
          <w:rFonts w:ascii="Times New Roman" w:hAnsi="Times New Roman"/>
          <w:bCs/>
          <w:color w:val="000000"/>
          <w:sz w:val="18"/>
          <w:lang w:val="es-AR" w:eastAsia="es-ES_tradnl"/>
        </w:rPr>
        <w:t xml:space="preserve"> Caso CPA No. 2012-12, Laudo sobre Jurisdicción y Admisibilidad, 17 de diciembre de 2015, párr. 554 </w:t>
      </w:r>
      <w:r w:rsidRPr="00EF5625">
        <w:rPr>
          <w:rStyle w:val="Footnote7pt"/>
          <w:rFonts w:ascii="Times New Roman" w:hAnsi="Times New Roman"/>
          <w:bCs/>
          <w:color w:val="000000"/>
          <w:sz w:val="18"/>
          <w:lang w:val="es-AR" w:eastAsia="es-ES_tradnl"/>
        </w:rPr>
        <w:t>(CLA-0013).</w:t>
      </w:r>
    </w:p>
  </w:footnote>
  <w:footnote w:id="173">
    <w:p w14:paraId="3A514C11"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Memorial (Jurisdicción), párr. 36.</w:t>
      </w:r>
    </w:p>
  </w:footnote>
  <w:footnote w:id="174">
    <w:p w14:paraId="5BDFEA69" w14:textId="77777777" w:rsidR="003468CF" w:rsidRPr="00EF5625" w:rsidRDefault="003468CF" w:rsidP="00AE5C72">
      <w:pPr>
        <w:pStyle w:val="FootnoteText"/>
        <w:tabs>
          <w:tab w:val="left" w:pos="284"/>
        </w:tabs>
        <w:spacing w:before="180"/>
        <w:rPr>
          <w:rFonts w:ascii="Times New Roman" w:hAnsi="Times New Roman"/>
          <w:sz w:val="18"/>
          <w:lang w:val="es-AR"/>
        </w:rPr>
      </w:pPr>
      <w:r w:rsidRPr="00EF5625">
        <w:rPr>
          <w:rStyle w:val="FootnoteReference"/>
          <w:rFonts w:ascii="Times New Roman" w:hAnsi="Times New Roman"/>
          <w:sz w:val="18"/>
        </w:rPr>
        <w:footnoteRef/>
      </w:r>
      <w:r w:rsidRPr="00EF5625">
        <w:rPr>
          <w:rFonts w:ascii="Times New Roman" w:hAnsi="Times New Roman"/>
          <w:sz w:val="18"/>
          <w:lang w:val="es-AR"/>
        </w:rPr>
        <w:t xml:space="preserve"> </w:t>
      </w:r>
      <w:r w:rsidRPr="00EF5625">
        <w:rPr>
          <w:rStyle w:val="Footnote7pt"/>
          <w:rFonts w:ascii="Times New Roman" w:hAnsi="Times New Roman"/>
          <w:b w:val="0"/>
          <w:sz w:val="18"/>
          <w:lang w:val="es-AR"/>
        </w:rPr>
        <w:t xml:space="preserve">Primer informe de Reynolds, párrs. 11, 29 (RER-1). </w:t>
      </w:r>
      <w:r w:rsidRPr="0029319C">
        <w:rPr>
          <w:rStyle w:val="Footnote7pt"/>
          <w:rFonts w:ascii="Times New Roman" w:hAnsi="Times New Roman"/>
          <w:b w:val="0"/>
          <w:i/>
          <w:sz w:val="18"/>
          <w:lang w:val="es-AR"/>
        </w:rPr>
        <w:t>Véase también</w:t>
      </w:r>
      <w:r w:rsidRPr="00EF5625">
        <w:rPr>
          <w:rStyle w:val="Footnote7pt"/>
          <w:rFonts w:ascii="Times New Roman" w:hAnsi="Times New Roman"/>
          <w:b w:val="0"/>
          <w:sz w:val="18"/>
          <w:lang w:val="es-AR"/>
        </w:rPr>
        <w:t xml:space="preserve"> Memorial (Jurisdicción), nota 42, citando </w:t>
      </w:r>
      <w:r w:rsidRPr="00CD7A9A">
        <w:rPr>
          <w:rStyle w:val="Footnote7pt"/>
          <w:rFonts w:ascii="Times New Roman" w:hAnsi="Times New Roman"/>
          <w:b w:val="0"/>
          <w:i/>
          <w:sz w:val="18"/>
          <w:lang w:val="es-AR"/>
        </w:rPr>
        <w:t>Smith c. Anderson</w:t>
      </w:r>
      <w:r w:rsidRPr="00EF5625">
        <w:rPr>
          <w:rStyle w:val="Footnote7pt"/>
          <w:rFonts w:ascii="Times New Roman" w:hAnsi="Times New Roman"/>
          <w:b w:val="0"/>
          <w:sz w:val="18"/>
          <w:lang w:val="es-AR"/>
        </w:rPr>
        <w:t>, 15 Ch D 247, 1880, pág. 275 (RR-017).</w:t>
      </w:r>
    </w:p>
  </w:footnote>
  <w:footnote w:id="175">
    <w:p w14:paraId="3830ADDD"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Memorial (Jurisdicción), párr. 37.</w:t>
      </w:r>
    </w:p>
  </w:footnote>
  <w:footnote w:id="176">
    <w:p w14:paraId="3E8ACA75"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Memorial (Jurisdicción), párr. 40; </w:t>
      </w:r>
      <w:r w:rsidRPr="00EF5625">
        <w:rPr>
          <w:rStyle w:val="Footnote8pt1"/>
          <w:rFonts w:ascii="Times New Roman" w:hAnsi="Times New Roman"/>
          <w:bCs/>
          <w:color w:val="000000"/>
          <w:sz w:val="18"/>
          <w:lang w:val="es-AR" w:eastAsia="es-ES_tradnl"/>
        </w:rPr>
        <w:t>Stephane Benhamou c. República Oriental del Uruguay</w:t>
      </w:r>
      <w:r w:rsidRPr="00EF5625">
        <w:rPr>
          <w:rStyle w:val="Footnote7pt1"/>
          <w:rFonts w:ascii="Times New Roman" w:hAnsi="Times New Roman"/>
          <w:bCs/>
          <w:color w:val="000000"/>
          <w:sz w:val="18"/>
          <w:lang w:val="es-AR" w:eastAsia="es-ES_tradnl"/>
        </w:rPr>
        <w:t xml:space="preserve"> CNUDMI, Decisión del Tribunal sobre Excepciones a la Competencia, 19 de diciembre de 2002, pág. 72 </w:t>
      </w:r>
      <w:r w:rsidRPr="00EF5625">
        <w:rPr>
          <w:rStyle w:val="Footnote7pt"/>
          <w:rFonts w:ascii="Times New Roman" w:hAnsi="Times New Roman"/>
          <w:bCs/>
          <w:color w:val="000000"/>
          <w:sz w:val="18"/>
          <w:lang w:val="es-AR" w:eastAsia="es-ES_tradnl"/>
        </w:rPr>
        <w:t xml:space="preserve">(RLA-0032). En </w:t>
      </w:r>
      <w:r w:rsidRPr="00EF5625">
        <w:rPr>
          <w:rStyle w:val="Bodytext210pt"/>
          <w:rFonts w:eastAsia="Calibri"/>
          <w:bCs/>
          <w:color w:val="000000"/>
          <w:sz w:val="18"/>
          <w:lang w:val="es-AR" w:eastAsia="es-ES_tradnl"/>
        </w:rPr>
        <w:t>Benhamou c. Uruguay,</w:t>
      </w:r>
      <w:r w:rsidRPr="00EF5625">
        <w:rPr>
          <w:rStyle w:val="Footnote7pt"/>
          <w:rFonts w:ascii="Times New Roman" w:hAnsi="Times New Roman"/>
          <w:bCs/>
          <w:color w:val="000000"/>
          <w:sz w:val="18"/>
          <w:lang w:val="es-AR" w:eastAsia="es-ES_tradnl"/>
        </w:rPr>
        <w:t xml:space="preserve"> el Sr. Benhamou era propietario de Eurofar, empresa a la que también controlaba y que celebró un acuerdo privado con la empresa italiana Banknord para que Banknord adquiriese "en nombre propio, pero en representación de Eurofar" acciones en un banco en Uruguay. Si bien el Sr. Benhamou estaba facultado para beneficiarse de las acciones en el banco uruguayo por medio del acuerdo privado entre Eurofar y Banknord, el tribunal en el caso concluyó que el Sr. Benhamou carecía del título legal de propiedad de las acciones. Determinó que este no podía al mismo tiempo beneficiarse de la separación legal de las acciones en el banco de Uruguay y también reclamar más adelante titularidad legal directa, simplemente porque estaba facultado a beneficiarse de estas acciones.</w:t>
      </w:r>
    </w:p>
  </w:footnote>
  <w:footnote w:id="177">
    <w:p w14:paraId="6D85B5CE"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Footnote8pt1"/>
          <w:rFonts w:ascii="Times New Roman" w:hAnsi="Times New Roman"/>
          <w:bCs/>
          <w:color w:val="000000"/>
          <w:sz w:val="18"/>
          <w:lang w:val="es-AR" w:eastAsia="es-ES_tradnl"/>
        </w:rPr>
        <w:t>Stephane Benhamou c. República Oriental del Uruguay</w:t>
      </w:r>
      <w:r w:rsidRPr="00EF5625">
        <w:rPr>
          <w:rStyle w:val="Footnote7pt1"/>
          <w:rFonts w:ascii="Times New Roman" w:hAnsi="Times New Roman"/>
          <w:bCs/>
          <w:color w:val="000000"/>
          <w:sz w:val="18"/>
          <w:lang w:val="es-AR" w:eastAsia="es-ES_tradnl"/>
        </w:rPr>
        <w:t xml:space="preserve"> CNUDMI, Decisión del Tribunal sobre Excepciones a la Competencia, 19 de diciembre de 2002, pág. 87 </w:t>
      </w:r>
      <w:r w:rsidRPr="00EF5625">
        <w:rPr>
          <w:rStyle w:val="Footnote7pt"/>
          <w:rFonts w:ascii="Times New Roman" w:hAnsi="Times New Roman"/>
          <w:bCs/>
          <w:color w:val="000000"/>
          <w:sz w:val="18"/>
          <w:lang w:val="es-AR" w:eastAsia="es-ES_tradnl"/>
        </w:rPr>
        <w:t>(RLA-0032).</w:t>
      </w:r>
    </w:p>
  </w:footnote>
  <w:footnote w:id="178">
    <w:p w14:paraId="3D9C8EBB"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párrs. 169, 174; Tr. audiencia, día 15, 3824:3-3825:7.</w:t>
      </w:r>
    </w:p>
  </w:footnote>
  <w:footnote w:id="179">
    <w:p w14:paraId="3A1C6F2E" w14:textId="77777777" w:rsidR="003468CF" w:rsidRPr="00384B2F" w:rsidRDefault="003468CF" w:rsidP="00AE5C72">
      <w:pPr>
        <w:pStyle w:val="Footnote30"/>
        <w:shd w:val="clear" w:color="auto" w:fill="auto"/>
        <w:tabs>
          <w:tab w:val="left" w:pos="284"/>
        </w:tabs>
        <w:spacing w:before="180" w:line="240" w:lineRule="auto"/>
        <w:rPr>
          <w:rFonts w:ascii="Times New Roman" w:hAnsi="Times New Roman"/>
          <w:b w:val="0"/>
          <w:sz w:val="18"/>
          <w:lang w:val="es-AR"/>
        </w:rPr>
      </w:pPr>
      <w:r w:rsidRPr="00444F05">
        <w:rPr>
          <w:rStyle w:val="Footnote38pt"/>
          <w:rFonts w:ascii="Times New Roman" w:hAnsi="Times New Roman"/>
          <w:bCs/>
          <w:iCs/>
          <w:color w:val="000000"/>
          <w:sz w:val="18"/>
          <w:vertAlign w:val="superscript"/>
          <w:lang w:eastAsia="es-ES_tradnl"/>
        </w:rPr>
        <w:footnoteRef/>
      </w:r>
      <w:r w:rsidRPr="00EF5625">
        <w:rPr>
          <w:rStyle w:val="Footnote38pt"/>
          <w:rFonts w:ascii="Times New Roman" w:hAnsi="Times New Roman"/>
          <w:bCs/>
          <w:i/>
          <w:iCs/>
          <w:color w:val="000000"/>
          <w:sz w:val="18"/>
          <w:lang w:val="es-AR" w:eastAsia="es-ES_tradnl"/>
        </w:rPr>
        <w:tab/>
      </w:r>
      <w:r w:rsidRPr="00384B2F">
        <w:rPr>
          <w:rStyle w:val="Footnote38pt"/>
          <w:rFonts w:ascii="Times New Roman" w:hAnsi="Times New Roman"/>
          <w:bCs/>
          <w:iCs/>
          <w:color w:val="000000"/>
          <w:sz w:val="18"/>
          <w:lang w:val="es-AR" w:eastAsia="es-ES_tradnl"/>
        </w:rPr>
        <w:t>Réplica (Jurisdicción), párr. 175.</w:t>
      </w:r>
    </w:p>
  </w:footnote>
  <w:footnote w:id="180">
    <w:p w14:paraId="6FE209FB" w14:textId="77777777" w:rsidR="003468CF" w:rsidRPr="00EF5625" w:rsidRDefault="003468CF" w:rsidP="00AE5C72">
      <w:pPr>
        <w:pStyle w:val="Footnote30"/>
        <w:shd w:val="clear" w:color="auto" w:fill="auto"/>
        <w:tabs>
          <w:tab w:val="left" w:pos="284"/>
        </w:tabs>
        <w:spacing w:before="180" w:line="240" w:lineRule="auto"/>
        <w:rPr>
          <w:rFonts w:ascii="Times New Roman" w:hAnsi="Times New Roman"/>
          <w:b w:val="0"/>
          <w:sz w:val="18"/>
          <w:lang w:val="es-AR"/>
        </w:rPr>
      </w:pPr>
      <w:r w:rsidRPr="00444F05">
        <w:rPr>
          <w:rStyle w:val="Footnote38pt"/>
          <w:rFonts w:ascii="Times New Roman" w:hAnsi="Times New Roman"/>
          <w:bCs/>
          <w:iCs/>
          <w:color w:val="000000"/>
          <w:sz w:val="18"/>
          <w:vertAlign w:val="superscript"/>
          <w:lang w:eastAsia="es-ES_tradnl"/>
        </w:rPr>
        <w:footnoteRef/>
      </w:r>
      <w:r w:rsidRPr="00EF5625">
        <w:rPr>
          <w:rStyle w:val="Footnote38pt"/>
          <w:rFonts w:ascii="Times New Roman" w:hAnsi="Times New Roman"/>
          <w:bCs/>
          <w:i/>
          <w:iCs/>
          <w:color w:val="000000"/>
          <w:sz w:val="18"/>
          <w:lang w:val="es-AR" w:eastAsia="es-ES_tradnl"/>
        </w:rPr>
        <w:tab/>
      </w:r>
      <w:r w:rsidRPr="00F84628">
        <w:rPr>
          <w:rStyle w:val="Footnote38pt"/>
          <w:rFonts w:ascii="Times New Roman" w:hAnsi="Times New Roman"/>
          <w:bCs/>
          <w:iCs/>
          <w:color w:val="000000"/>
          <w:sz w:val="18"/>
          <w:lang w:val="es-AR" w:eastAsia="es-ES_tradnl"/>
        </w:rPr>
        <w:t>TBI, art. 8 (C-0001) (énfasis del Tribunal).</w:t>
      </w:r>
    </w:p>
  </w:footnote>
  <w:footnote w:id="181">
    <w:p w14:paraId="4DA5CCF5"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Réplica (Jurisdicción), párrs. 175, 182; </w:t>
      </w:r>
      <w:r w:rsidRPr="00EF5625">
        <w:rPr>
          <w:rStyle w:val="Footnote8pt1"/>
          <w:rFonts w:ascii="Times New Roman" w:hAnsi="Times New Roman"/>
          <w:bCs/>
          <w:color w:val="000000"/>
          <w:sz w:val="18"/>
          <w:lang w:val="es-AR" w:eastAsia="es-ES_tradnl"/>
        </w:rPr>
        <w:t>ABCI Investments N.V. c. República de Túnez,</w:t>
      </w:r>
      <w:r w:rsidRPr="00EF5625">
        <w:rPr>
          <w:rStyle w:val="Footnote7pt1"/>
          <w:rFonts w:ascii="Times New Roman" w:hAnsi="Times New Roman"/>
          <w:bCs/>
          <w:color w:val="000000"/>
          <w:sz w:val="18"/>
          <w:lang w:val="es-AR" w:eastAsia="es-ES_tradnl"/>
        </w:rPr>
        <w:t xml:space="preserve"> Caso CIADI No. ARB/04/12, Decisión sobre Jurisdicción, 18 de febrero de 2011, párr. </w:t>
      </w:r>
      <w:r w:rsidRPr="00A24A91">
        <w:rPr>
          <w:rStyle w:val="Footnote7pt1"/>
          <w:rFonts w:ascii="Times New Roman" w:hAnsi="Times New Roman"/>
          <w:bCs/>
          <w:color w:val="000000"/>
          <w:sz w:val="18"/>
          <w:lang w:val="es-AR" w:eastAsia="es-ES_tradnl"/>
        </w:rPr>
        <w:t xml:space="preserve">169 </w:t>
      </w:r>
      <w:r w:rsidRPr="00A24A91">
        <w:rPr>
          <w:rStyle w:val="Footnote7pt"/>
          <w:rFonts w:ascii="Times New Roman" w:hAnsi="Times New Roman"/>
          <w:bCs/>
          <w:color w:val="000000"/>
          <w:sz w:val="18"/>
          <w:lang w:val="es-AR" w:eastAsia="es-ES_tradnl"/>
        </w:rPr>
        <w:t xml:space="preserve">(RLA-0204); </w:t>
      </w:r>
      <w:r w:rsidRPr="00A24A91">
        <w:rPr>
          <w:rStyle w:val="Footnote8pt1"/>
          <w:rFonts w:ascii="Times New Roman" w:hAnsi="Times New Roman"/>
          <w:bCs/>
          <w:color w:val="000000"/>
          <w:sz w:val="18"/>
          <w:lang w:val="es-AR" w:eastAsia="es-ES_tradnl"/>
        </w:rPr>
        <w:t>Ping An Life Insurance Company of China, Limited y Ping An Insurance (Group) of China, Limited c. Reino de Bélgica,</w:t>
      </w:r>
      <w:r w:rsidRPr="00A24A91">
        <w:rPr>
          <w:rStyle w:val="Footnote7pt1"/>
          <w:rFonts w:ascii="Times New Roman" w:hAnsi="Times New Roman"/>
          <w:bCs/>
          <w:color w:val="000000"/>
          <w:sz w:val="18"/>
          <w:lang w:val="es-AR" w:eastAsia="es-ES_tradnl"/>
        </w:rPr>
        <w:t xml:space="preserve"> Caso CIADI No. </w:t>
      </w:r>
      <w:r w:rsidRPr="00EF5625">
        <w:rPr>
          <w:rStyle w:val="Footnote7pt1"/>
          <w:rFonts w:ascii="Times New Roman" w:hAnsi="Times New Roman"/>
          <w:bCs/>
          <w:color w:val="000000"/>
          <w:sz w:val="18"/>
          <w:lang w:val="es-AR" w:eastAsia="es-ES_tradnl"/>
        </w:rPr>
        <w:t xml:space="preserve">ARB/12/29, Laudo, 30 de abril de 2015, párr. 224 </w:t>
      </w:r>
      <w:r w:rsidRPr="00EF5625">
        <w:rPr>
          <w:rStyle w:val="Footnote7pt"/>
          <w:rFonts w:ascii="Times New Roman" w:hAnsi="Times New Roman"/>
          <w:bCs/>
          <w:color w:val="000000"/>
          <w:sz w:val="18"/>
          <w:lang w:val="es-AR" w:eastAsia="es-ES_tradnl"/>
        </w:rPr>
        <w:t>(RLA-0221).</w:t>
      </w:r>
    </w:p>
  </w:footnote>
  <w:footnote w:id="182">
    <w:p w14:paraId="6CB4A6B2" w14:textId="77777777" w:rsidR="003468CF" w:rsidRPr="00610F32" w:rsidRDefault="003468CF" w:rsidP="00AE5C72">
      <w:pPr>
        <w:pStyle w:val="Footnote30"/>
        <w:shd w:val="clear" w:color="auto" w:fill="auto"/>
        <w:tabs>
          <w:tab w:val="left" w:pos="284"/>
        </w:tabs>
        <w:spacing w:before="180" w:line="240" w:lineRule="auto"/>
        <w:rPr>
          <w:rFonts w:ascii="Times New Roman" w:hAnsi="Times New Roman"/>
          <w:b w:val="0"/>
          <w:sz w:val="18"/>
          <w:lang w:val="es-AR"/>
        </w:rPr>
      </w:pPr>
      <w:r w:rsidRPr="007354A6">
        <w:rPr>
          <w:rStyle w:val="Footnote38pt"/>
          <w:rFonts w:ascii="Times New Roman" w:hAnsi="Times New Roman"/>
          <w:bCs/>
          <w:iCs/>
          <w:color w:val="000000"/>
          <w:sz w:val="18"/>
          <w:vertAlign w:val="superscript"/>
          <w:lang w:eastAsia="es-ES_tradnl"/>
        </w:rPr>
        <w:footnoteRef/>
      </w:r>
      <w:r w:rsidRPr="00EF5625">
        <w:rPr>
          <w:rStyle w:val="Footnote38pt"/>
          <w:rFonts w:ascii="Times New Roman" w:hAnsi="Times New Roman"/>
          <w:bCs/>
          <w:i/>
          <w:iCs/>
          <w:color w:val="000000"/>
          <w:sz w:val="18"/>
          <w:lang w:val="es-AR" w:eastAsia="es-ES_tradnl"/>
        </w:rPr>
        <w:tab/>
      </w:r>
      <w:r w:rsidRPr="00610F32">
        <w:rPr>
          <w:rStyle w:val="Footnote38pt"/>
          <w:rFonts w:ascii="Times New Roman" w:hAnsi="Times New Roman"/>
          <w:bCs/>
          <w:iCs/>
          <w:color w:val="000000"/>
          <w:sz w:val="18"/>
          <w:lang w:val="es-AR" w:eastAsia="es-ES_tradnl"/>
        </w:rPr>
        <w:t>Réplica (Jurisdicción), párr. 184.</w:t>
      </w:r>
    </w:p>
  </w:footnote>
  <w:footnote w:id="183">
    <w:p w14:paraId="696BF6BE" w14:textId="77777777" w:rsidR="003468CF" w:rsidRPr="00EF5625" w:rsidRDefault="003468CF" w:rsidP="00AE5C72">
      <w:pPr>
        <w:pStyle w:val="Footnote30"/>
        <w:shd w:val="clear" w:color="auto" w:fill="auto"/>
        <w:tabs>
          <w:tab w:val="left" w:pos="284"/>
        </w:tabs>
        <w:spacing w:before="180" w:line="240" w:lineRule="auto"/>
        <w:rPr>
          <w:rFonts w:ascii="Times New Roman" w:hAnsi="Times New Roman"/>
          <w:b w:val="0"/>
          <w:sz w:val="18"/>
          <w:lang w:val="es-AR"/>
        </w:rPr>
      </w:pPr>
      <w:r w:rsidRPr="007354A6">
        <w:rPr>
          <w:rStyle w:val="Footnote38pt"/>
          <w:rFonts w:ascii="Times New Roman" w:hAnsi="Times New Roman"/>
          <w:bCs/>
          <w:iCs/>
          <w:color w:val="000000"/>
          <w:sz w:val="18"/>
          <w:vertAlign w:val="superscript"/>
          <w:lang w:eastAsia="es-ES_tradnl"/>
        </w:rPr>
        <w:footnoteRef/>
      </w:r>
      <w:r w:rsidRPr="00EF5625">
        <w:rPr>
          <w:rStyle w:val="Footnote38pt"/>
          <w:rFonts w:ascii="Times New Roman" w:hAnsi="Times New Roman"/>
          <w:bCs/>
          <w:i/>
          <w:iCs/>
          <w:color w:val="000000"/>
          <w:sz w:val="18"/>
          <w:lang w:val="es-AR" w:eastAsia="es-ES_tradnl"/>
        </w:rPr>
        <w:tab/>
        <w:t>Id.</w:t>
      </w:r>
    </w:p>
  </w:footnote>
  <w:footnote w:id="184">
    <w:p w14:paraId="6DE5CF6E"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Réplica (Jurisdicción), párrs. 188, 193; </w:t>
      </w:r>
      <w:r w:rsidRPr="00EF5625">
        <w:rPr>
          <w:rStyle w:val="Footnote8pt1"/>
          <w:rFonts w:ascii="Times New Roman" w:hAnsi="Times New Roman"/>
          <w:bCs/>
          <w:color w:val="000000"/>
          <w:sz w:val="18"/>
          <w:lang w:val="es-AR" w:eastAsia="es-ES_tradnl"/>
        </w:rPr>
        <w:t>SGS Société Genérale de Surveillance</w:t>
      </w:r>
      <w:r w:rsidRPr="00EF5625">
        <w:rPr>
          <w:rStyle w:val="Footnote7pt1"/>
          <w:rFonts w:ascii="Times New Roman" w:hAnsi="Times New Roman"/>
          <w:bCs/>
          <w:color w:val="000000"/>
          <w:sz w:val="18"/>
          <w:lang w:val="es-AR" w:eastAsia="es-ES_tradnl"/>
        </w:rPr>
        <w:t xml:space="preserve"> S.A. </w:t>
      </w:r>
      <w:r w:rsidRPr="00EF5625">
        <w:rPr>
          <w:rStyle w:val="Footnote8pt1"/>
          <w:rFonts w:ascii="Times New Roman" w:hAnsi="Times New Roman"/>
          <w:bCs/>
          <w:color w:val="000000"/>
          <w:sz w:val="18"/>
          <w:lang w:val="es-AR" w:eastAsia="es-ES_tradnl"/>
        </w:rPr>
        <w:t>c. República de Filipinas,</w:t>
      </w:r>
      <w:r w:rsidRPr="00EF5625">
        <w:rPr>
          <w:rStyle w:val="Footnote7pt1"/>
          <w:rFonts w:ascii="Times New Roman" w:hAnsi="Times New Roman"/>
          <w:bCs/>
          <w:color w:val="000000"/>
          <w:sz w:val="18"/>
          <w:lang w:val="es-AR" w:eastAsia="es-ES_tradnl"/>
        </w:rPr>
        <w:t xml:space="preserve"> Caso CIADI No. ARB/02/6, Decisión del Tribunal sobre Objeciones a la Jurisdicción, 29 de enero de 2004, párr. 166 </w:t>
      </w:r>
      <w:r w:rsidRPr="00EF5625">
        <w:rPr>
          <w:rStyle w:val="Footnote7pt"/>
          <w:rFonts w:ascii="Times New Roman" w:hAnsi="Times New Roman"/>
          <w:bCs/>
          <w:color w:val="000000"/>
          <w:sz w:val="18"/>
          <w:lang w:val="es-AR" w:eastAsia="es-ES_tradnl"/>
        </w:rPr>
        <w:t xml:space="preserve">(CLA-0104); </w:t>
      </w:r>
      <w:r w:rsidRPr="00EF5625">
        <w:rPr>
          <w:rStyle w:val="Footnote8pt1"/>
          <w:rFonts w:ascii="Times New Roman" w:hAnsi="Times New Roman"/>
          <w:bCs/>
          <w:color w:val="000000"/>
          <w:sz w:val="18"/>
          <w:lang w:val="es-AR" w:eastAsia="es-ES_tradnl"/>
        </w:rPr>
        <w:t>Pac Rim Cayman LLC c. República de El Salvador,</w:t>
      </w:r>
      <w:r w:rsidRPr="00EF5625">
        <w:rPr>
          <w:rStyle w:val="Footnote7pt1"/>
          <w:rFonts w:ascii="Times New Roman" w:hAnsi="Times New Roman"/>
          <w:bCs/>
          <w:color w:val="000000"/>
          <w:sz w:val="18"/>
          <w:lang w:val="es-AR" w:eastAsia="es-ES_tradnl"/>
        </w:rPr>
        <w:t xml:space="preserve"> Caso CIADI No. ARB/09/12, Decisión sobre las Objeciones Jurisdiccionales de la Demandada, 1 de junio de 2012, párr. 2 89 </w:t>
      </w:r>
      <w:r w:rsidRPr="00E23EF6">
        <w:rPr>
          <w:rStyle w:val="Bodytext210pt"/>
          <w:rFonts w:eastAsia="Calibri"/>
          <w:bCs/>
          <w:i w:val="0"/>
          <w:color w:val="000000"/>
          <w:sz w:val="18"/>
          <w:lang w:val="es-AR" w:eastAsia="es-ES_tradnl"/>
        </w:rPr>
        <w:t>(RLA-0105).</w:t>
      </w:r>
    </w:p>
  </w:footnote>
  <w:footnote w:id="185">
    <w:p w14:paraId="2453AB32"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11.</w:t>
      </w:r>
    </w:p>
  </w:footnote>
  <w:footnote w:id="186">
    <w:p w14:paraId="38DB56EF"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Escrito de Contestación (Jurisdicción), nota 9; R. Dolzer, C. Schreuer, </w:t>
      </w:r>
      <w:r w:rsidRPr="00EF5625">
        <w:rPr>
          <w:rStyle w:val="Bodytext210pt"/>
          <w:rFonts w:eastAsia="Calibri"/>
          <w:bCs/>
          <w:color w:val="000000"/>
          <w:sz w:val="18"/>
          <w:lang w:val="es-AR" w:eastAsia="es-ES_tradnl"/>
        </w:rPr>
        <w:t>Principles ofInternational InvestmentLaw</w:t>
      </w:r>
      <w:r w:rsidRPr="00EF5625">
        <w:rPr>
          <w:rStyle w:val="Footnote7pt"/>
          <w:rFonts w:ascii="Times New Roman" w:hAnsi="Times New Roman"/>
          <w:bCs/>
          <w:color w:val="000000"/>
          <w:sz w:val="18"/>
          <w:lang w:val="es-AR" w:eastAsia="es-ES_tradnl"/>
        </w:rPr>
        <w:t xml:space="preserve"> (2a ed. 2012), Oxford University Press, pág. 39 (CLA-0122).</w:t>
      </w:r>
    </w:p>
  </w:footnote>
  <w:footnote w:id="187">
    <w:p w14:paraId="51A2EA63"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Escrito de Contestación (Jurisdicción), nota 9; Z. Douglas, </w:t>
      </w:r>
      <w:r w:rsidRPr="00EF5625">
        <w:rPr>
          <w:rStyle w:val="Bodytext210pt"/>
          <w:rFonts w:eastAsia="Calibri"/>
          <w:bCs/>
          <w:color w:val="000000"/>
          <w:sz w:val="18"/>
          <w:lang w:val="es-AR" w:eastAsia="es-ES_tradnl"/>
        </w:rPr>
        <w:t>The International Law of Investment Claims</w:t>
      </w:r>
      <w:r w:rsidRPr="00EF5625">
        <w:rPr>
          <w:rStyle w:val="Footnote7pt"/>
          <w:rFonts w:ascii="Times New Roman" w:hAnsi="Times New Roman"/>
          <w:bCs/>
          <w:color w:val="000000"/>
          <w:sz w:val="18"/>
          <w:lang w:val="es-AR" w:eastAsia="es-ES_tradnl"/>
        </w:rPr>
        <w:t xml:space="preserve"> (2009) Cambridge University Press, pág. 148 (CLA-0123).</w:t>
      </w:r>
    </w:p>
  </w:footnote>
  <w:footnote w:id="188">
    <w:p w14:paraId="7206B074"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párrs. 11, 50,103; Dúplica (Jurisdicción), párr. 5. Los Demandantes sostienen que "[e]n particular, el derecho nacional no puede invocarse para alterar o restringir la definición de ’inversiones’ acordada entre el Reino Unido y Uruguay en el Tratado"; Primer informe pericial de W. Michael Reisman, 22 de mayo de 2019, párr. 2 (CER-3) ("Primer informe de Reisman"): "el TBI es la fuente y el origen de la jurisdicción del tribunal. Los interrogantes que surgen en tomo a ello se rigen por las disposiciones del TBI y el derecho internacional y no por el derecho nacional de las Islas Caimán o el Reino Unido [...] como precepto fundamental, el derecho internacional prevalecerá [sobre la legislación interna contraria]. Debe tenerse en cuenta que, a falta de una referencia explícita, el derecho internacional considera al derecho interno como un hecho, no una ley".</w:t>
      </w:r>
    </w:p>
  </w:footnote>
  <w:footnote w:id="189">
    <w:p w14:paraId="05AC3FD7"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párrs. 11, 50.</w:t>
      </w:r>
    </w:p>
  </w:footnote>
  <w:footnote w:id="190">
    <w:p w14:paraId="3C19CB96"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105; Dúplica (Jurisdicción), párrs. 86-89; Tr. audiencia, día 15,3640:20-3642:15.</w:t>
      </w:r>
    </w:p>
  </w:footnote>
  <w:footnote w:id="191">
    <w:p w14:paraId="44A400F9" w14:textId="77777777" w:rsidR="003468CF" w:rsidRPr="00EF5625" w:rsidRDefault="003468CF" w:rsidP="00AE5C72">
      <w:pPr>
        <w:pStyle w:val="Footnote30"/>
        <w:shd w:val="clear" w:color="auto" w:fill="auto"/>
        <w:tabs>
          <w:tab w:val="left" w:pos="284"/>
        </w:tabs>
        <w:spacing w:before="180" w:line="240" w:lineRule="auto"/>
        <w:rPr>
          <w:rFonts w:ascii="Times New Roman" w:hAnsi="Times New Roman"/>
          <w:b w:val="0"/>
          <w:sz w:val="18"/>
          <w:lang w:val="es-AR"/>
        </w:rPr>
      </w:pPr>
      <w:r w:rsidRPr="00EF5625">
        <w:rPr>
          <w:rStyle w:val="Footnote38pt"/>
          <w:rFonts w:ascii="Times New Roman" w:hAnsi="Times New Roman"/>
          <w:bCs/>
          <w:i/>
          <w:iCs/>
          <w:color w:val="000000"/>
          <w:sz w:val="18"/>
          <w:vertAlign w:val="superscript"/>
          <w:lang w:eastAsia="es-ES_tradnl"/>
        </w:rPr>
        <w:footnoteRef/>
      </w:r>
      <w:r w:rsidRPr="00EF5625">
        <w:rPr>
          <w:rStyle w:val="Footnote38pt"/>
          <w:rFonts w:ascii="Times New Roman" w:hAnsi="Times New Roman"/>
          <w:bCs/>
          <w:i/>
          <w:iCs/>
          <w:color w:val="000000"/>
          <w:sz w:val="18"/>
          <w:lang w:val="es-AR" w:eastAsia="es-ES_tradnl"/>
        </w:rPr>
        <w:tab/>
        <w:t>Dúplica (Jurisdicción), párrs. 19-21,45,50.</w:t>
      </w:r>
    </w:p>
  </w:footnote>
  <w:footnote w:id="192">
    <w:p w14:paraId="62C6353C"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1C75EA">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Dúplica (Jurisdicción), párrs. 72-80; </w:t>
      </w:r>
      <w:r w:rsidRPr="00EF5625">
        <w:rPr>
          <w:rStyle w:val="Footnote7pt1"/>
          <w:rFonts w:ascii="Times New Roman" w:hAnsi="Times New Roman"/>
          <w:bCs/>
          <w:color w:val="000000"/>
          <w:sz w:val="18"/>
          <w:lang w:val="es-AR" w:eastAsia="es-ES_tradnl"/>
        </w:rPr>
        <w:t xml:space="preserve">Convención de Viena sobre el Derecho de los Tratados, 1155 U.N.T.S. 331,23 de mayo de 1969, art. 31.1 </w:t>
      </w:r>
      <w:r w:rsidRPr="00EF5625">
        <w:rPr>
          <w:rStyle w:val="Footnote7pt"/>
          <w:rFonts w:ascii="Times New Roman" w:hAnsi="Times New Roman"/>
          <w:bCs/>
          <w:color w:val="000000"/>
          <w:sz w:val="18"/>
          <w:lang w:val="es-AR" w:eastAsia="es-ES_tradnl"/>
        </w:rPr>
        <w:t>(CLA-0001).</w:t>
      </w:r>
    </w:p>
  </w:footnote>
  <w:footnote w:id="193">
    <w:p w14:paraId="68F52466"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Memorial (Jurisdicción), sec. II.B-C.</w:t>
      </w:r>
    </w:p>
  </w:footnote>
  <w:footnote w:id="194">
    <w:p w14:paraId="1F824296"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51.</w:t>
      </w:r>
    </w:p>
  </w:footnote>
  <w:footnote w:id="195">
    <w:p w14:paraId="63412CB0"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Primer informe de Reisman, párr. 14 (CER-3). </w:t>
      </w:r>
      <w:r w:rsidRPr="00EF5625">
        <w:rPr>
          <w:rStyle w:val="Bodytext210pt"/>
          <w:rFonts w:eastAsia="Calibri"/>
          <w:bCs/>
          <w:color w:val="000000"/>
          <w:sz w:val="18"/>
          <w:lang w:val="es-AR" w:eastAsia="es-ES_tradnl"/>
        </w:rPr>
        <w:t>Véase también</w:t>
      </w:r>
      <w:r w:rsidRPr="00EF5625">
        <w:rPr>
          <w:rStyle w:val="Footnote7pt"/>
          <w:rFonts w:ascii="Times New Roman" w:hAnsi="Times New Roman"/>
          <w:bCs/>
          <w:color w:val="000000"/>
          <w:sz w:val="18"/>
          <w:lang w:val="es-AR" w:eastAsia="es-ES_tradnl"/>
        </w:rPr>
        <w:t xml:space="preserve"> Dúplica (Jurisdicción), párrs. 61-62.</w:t>
      </w:r>
    </w:p>
  </w:footnote>
  <w:footnote w:id="196">
    <w:p w14:paraId="565C3E9E"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Escrito de Contestación (Jurisdicción), párrs. 11, 52-53. En apoyo del argumento que "[l]a noción de que el titular beneficiario de un bien (y no su titular formal) es la verdadera parte interesada ante un tribunal internacional puede con total acierto considerarse un principio general del derecho internacional", los Demandantes presentan pasajes de la siguiente doctrina: D. J. Bederman, "Beneficial Ownership of International Claims", </w:t>
      </w:r>
      <w:r w:rsidRPr="00EF5625">
        <w:rPr>
          <w:rStyle w:val="Bodytext210pt"/>
          <w:rFonts w:eastAsia="Calibri"/>
          <w:bCs/>
          <w:color w:val="000000"/>
          <w:sz w:val="18"/>
          <w:lang w:val="es-AR" w:eastAsia="es-ES_tradnl"/>
        </w:rPr>
        <w:t>International and Comparative Law Quarterly,</w:t>
      </w:r>
      <w:r w:rsidRPr="00EF5625">
        <w:rPr>
          <w:rStyle w:val="Footnote7pt"/>
          <w:rFonts w:ascii="Times New Roman" w:hAnsi="Times New Roman"/>
          <w:bCs/>
          <w:color w:val="000000"/>
          <w:sz w:val="18"/>
          <w:lang w:val="es-AR" w:eastAsia="es-ES_tradnl"/>
        </w:rPr>
        <w:t xml:space="preserve"> vol. 38 (1989), págs. </w:t>
      </w:r>
      <w:r w:rsidRPr="00EF5625">
        <w:rPr>
          <w:rStyle w:val="Footnote7pt"/>
          <w:rFonts w:ascii="Times New Roman" w:hAnsi="Times New Roman"/>
          <w:bCs/>
          <w:color w:val="000000"/>
          <w:sz w:val="18"/>
          <w:lang w:eastAsia="es-ES_tradnl"/>
        </w:rPr>
        <w:t xml:space="preserve">935-936 (CLA-0127); </w:t>
      </w:r>
      <w:r w:rsidRPr="00EF5625">
        <w:rPr>
          <w:rStyle w:val="Bodytext210pt"/>
          <w:rFonts w:eastAsia="Calibri"/>
          <w:bCs/>
          <w:color w:val="000000"/>
          <w:sz w:val="18"/>
          <w:lang w:eastAsia="es-ES_tradnl"/>
        </w:rPr>
        <w:t>Oppenheim's International Law</w:t>
      </w:r>
      <w:r w:rsidRPr="00EF5625">
        <w:rPr>
          <w:rStyle w:val="Footnote7pt"/>
          <w:rFonts w:ascii="Times New Roman" w:hAnsi="Times New Roman"/>
          <w:bCs/>
          <w:color w:val="000000"/>
          <w:sz w:val="18"/>
          <w:lang w:eastAsia="es-ES_tradnl"/>
        </w:rPr>
        <w:t xml:space="preserve"> (9a ed. 2008), Longman, pág. 514 (CLA-0128); J. Crawford, </w:t>
      </w:r>
      <w:r w:rsidRPr="00EF5625">
        <w:rPr>
          <w:rStyle w:val="Bodytext210pt"/>
          <w:rFonts w:eastAsia="Calibri"/>
          <w:bCs/>
          <w:color w:val="000000"/>
          <w:sz w:val="18"/>
          <w:lang w:eastAsia="es-ES_tradnl"/>
        </w:rPr>
        <w:t>Brownlie’s Principles ofPublic International Law</w:t>
      </w:r>
      <w:r w:rsidRPr="00EF5625">
        <w:rPr>
          <w:rStyle w:val="Footnote7pt"/>
          <w:rFonts w:ascii="Times New Roman" w:hAnsi="Times New Roman"/>
          <w:bCs/>
          <w:color w:val="000000"/>
          <w:sz w:val="18"/>
          <w:lang w:eastAsia="es-ES_tradnl"/>
        </w:rPr>
        <w:t xml:space="preserve"> (8a ed. 2012), Oxford University Press, págs. 704-705 (CLA-0129); M. M. Whiteman, </w:t>
      </w:r>
      <w:r w:rsidRPr="00EF5625">
        <w:rPr>
          <w:rStyle w:val="Bodytext210pt"/>
          <w:rFonts w:eastAsia="Calibri"/>
          <w:bCs/>
          <w:color w:val="000000"/>
          <w:sz w:val="18"/>
          <w:lang w:eastAsia="es-ES_tradnl"/>
        </w:rPr>
        <w:t>Digest ofInternational Law,</w:t>
      </w:r>
      <w:r w:rsidRPr="00EF5625">
        <w:rPr>
          <w:rStyle w:val="Footnote7pt"/>
          <w:rFonts w:ascii="Times New Roman" w:hAnsi="Times New Roman"/>
          <w:bCs/>
          <w:color w:val="000000"/>
          <w:sz w:val="18"/>
          <w:lang w:eastAsia="es-ES_tradnl"/>
        </w:rPr>
        <w:t xml:space="preserve"> vol. 8 (1967), págs. 1261-1262 (CLA-0130); F. Orrego Vicuña, "Changing Approaches to the Nationality of Claims in the Context of Diplomatic Protection and International Dispute Settlement", </w:t>
      </w:r>
      <w:r w:rsidRPr="00EF5625">
        <w:rPr>
          <w:rStyle w:val="Bodytext210pt"/>
          <w:rFonts w:eastAsia="Calibri"/>
          <w:bCs/>
          <w:color w:val="000000"/>
          <w:sz w:val="18"/>
          <w:lang w:eastAsia="es-ES_tradnl"/>
        </w:rPr>
        <w:t>ICSID Review—Foreign InvestmentLaw Journal,</w:t>
      </w:r>
      <w:r w:rsidRPr="00EF5625">
        <w:rPr>
          <w:rStyle w:val="Footnote7pt"/>
          <w:rFonts w:ascii="Times New Roman" w:hAnsi="Times New Roman"/>
          <w:bCs/>
          <w:color w:val="000000"/>
          <w:sz w:val="18"/>
          <w:lang w:eastAsia="es-ES_tradnl"/>
        </w:rPr>
        <w:t xml:space="preserve"> vol. 15(2) (2000), págs. 340, 352 (CLA-0131); E. M. Borchard, </w:t>
      </w:r>
      <w:r w:rsidRPr="00EF5625">
        <w:rPr>
          <w:rStyle w:val="Bodytext210pt"/>
          <w:rFonts w:eastAsia="Calibri"/>
          <w:bCs/>
          <w:color w:val="000000"/>
          <w:sz w:val="18"/>
          <w:lang w:eastAsia="es-ES_tradnl"/>
        </w:rPr>
        <w:t>The Diplomatic Protections of Citizens Abroad</w:t>
      </w:r>
      <w:r w:rsidRPr="00EF5625">
        <w:rPr>
          <w:rStyle w:val="Footnote7pt"/>
          <w:rFonts w:ascii="Times New Roman" w:hAnsi="Times New Roman"/>
          <w:bCs/>
          <w:color w:val="000000"/>
          <w:sz w:val="18"/>
          <w:lang w:eastAsia="es-ES_tradnl"/>
        </w:rPr>
        <w:t xml:space="preserve"> (1923), The Banks Law Publishing Co. </w:t>
      </w:r>
      <w:r w:rsidRPr="00EF5625">
        <w:rPr>
          <w:rStyle w:val="Footnote7pt"/>
          <w:rFonts w:ascii="Times New Roman" w:hAnsi="Times New Roman"/>
          <w:bCs/>
          <w:color w:val="000000"/>
          <w:sz w:val="18"/>
          <w:lang w:val="es-AR" w:eastAsia="es-ES_tradnl"/>
        </w:rPr>
        <w:t>§ 309 (CLA-0132).</w:t>
      </w:r>
    </w:p>
  </w:footnote>
  <w:footnote w:id="197">
    <w:p w14:paraId="2BDB15B5"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Escrito de Contestación (Jurisdicción), párrs. 54-62; </w:t>
      </w:r>
      <w:r w:rsidRPr="00EF5625">
        <w:rPr>
          <w:rStyle w:val="Bodytext210pt"/>
          <w:rFonts w:eastAsia="Calibri"/>
          <w:bCs/>
          <w:color w:val="000000"/>
          <w:sz w:val="18"/>
          <w:lang w:val="es-AR" w:eastAsia="es-ES_tradnl"/>
        </w:rPr>
        <w:t>Charles Coleman c. Estados Unidos</w:t>
      </w:r>
      <w:r w:rsidRPr="00EF5625">
        <w:rPr>
          <w:rStyle w:val="Footnote7pt"/>
          <w:rFonts w:ascii="Times New Roman" w:hAnsi="Times New Roman"/>
          <w:bCs/>
          <w:color w:val="000000"/>
          <w:sz w:val="18"/>
          <w:lang w:val="es-AR" w:eastAsia="es-ES_tradnl"/>
        </w:rPr>
        <w:t xml:space="preserve"> (Comisión de Reclamaciones Mixtas entre Gran Bretaña y Estados Unidos 1872), </w:t>
      </w:r>
      <w:r w:rsidRPr="00EF5625">
        <w:rPr>
          <w:rStyle w:val="Bodytext210pt"/>
          <w:rFonts w:eastAsia="Calibri"/>
          <w:bCs/>
          <w:color w:val="000000"/>
          <w:sz w:val="18"/>
          <w:lang w:val="es-AR" w:eastAsia="es-ES_tradnl"/>
        </w:rPr>
        <w:t>reimpreso en</w:t>
      </w:r>
      <w:r w:rsidRPr="00EF5625">
        <w:rPr>
          <w:rStyle w:val="Footnote7pt"/>
          <w:rFonts w:ascii="Times New Roman" w:hAnsi="Times New Roman"/>
          <w:bCs/>
          <w:color w:val="000000"/>
          <w:sz w:val="18"/>
          <w:lang w:val="es-AR" w:eastAsia="es-ES_tradnl"/>
        </w:rPr>
        <w:t xml:space="preserve"> Report of Robert S. Hale, Esq., Agente y Letrado de Estados Unidos [1873, Parte II, Vol. III] U.S. Foreign Relations 98 (1874) (CLA-0133); </w:t>
      </w:r>
      <w:r w:rsidRPr="00EF5625">
        <w:rPr>
          <w:rStyle w:val="Bodytext210pt"/>
          <w:rFonts w:eastAsia="Calibri"/>
          <w:bCs/>
          <w:color w:val="000000"/>
          <w:sz w:val="18"/>
          <w:lang w:val="es-AR" w:eastAsia="es-ES_tradnl"/>
        </w:rPr>
        <w:t>Exors. Of</w:t>
      </w:r>
      <w:r>
        <w:rPr>
          <w:rStyle w:val="Bodytext210pt"/>
          <w:rFonts w:eastAsia="Calibri"/>
          <w:bCs/>
          <w:color w:val="000000"/>
          <w:sz w:val="18"/>
          <w:lang w:val="es-AR" w:eastAsia="es-ES_tradnl"/>
        </w:rPr>
        <w:t xml:space="preserve"> </w:t>
      </w:r>
      <w:r w:rsidRPr="00EF5625">
        <w:rPr>
          <w:rStyle w:val="Bodytext210pt"/>
          <w:rFonts w:eastAsia="Calibri"/>
          <w:bCs/>
          <w:color w:val="000000"/>
          <w:sz w:val="18"/>
          <w:lang w:val="es-AR" w:eastAsia="es-ES_tradnl"/>
        </w:rPr>
        <w:t>F. Lederer (deceased) c. Gobierno Alemán</w:t>
      </w:r>
      <w:r w:rsidRPr="00EF5625">
        <w:rPr>
          <w:rStyle w:val="Footnote7pt"/>
          <w:rFonts w:ascii="Times New Roman" w:hAnsi="Times New Roman"/>
          <w:bCs/>
          <w:color w:val="000000"/>
          <w:sz w:val="18"/>
          <w:lang w:val="es-AR" w:eastAsia="es-ES_tradnl"/>
        </w:rPr>
        <w:t xml:space="preserve"> (Decisión Provisoria) (Tribunal Arbitral Mixto Gran Bretaña-Alemania 1923), </w:t>
      </w:r>
      <w:r w:rsidRPr="00EF5625">
        <w:rPr>
          <w:rStyle w:val="Bodytext210pt"/>
          <w:rFonts w:eastAsia="Calibri"/>
          <w:bCs/>
          <w:color w:val="000000"/>
          <w:sz w:val="18"/>
          <w:lang w:val="es-AR" w:eastAsia="es-ES_tradnl"/>
        </w:rPr>
        <w:t>en Recueil des Décisions des Tribunaux Arbitraux Mixtes</w:t>
      </w:r>
      <w:r w:rsidRPr="00EF5625">
        <w:rPr>
          <w:rStyle w:val="Footnote7pt"/>
          <w:rFonts w:ascii="Times New Roman" w:hAnsi="Times New Roman"/>
          <w:bCs/>
          <w:color w:val="000000"/>
          <w:sz w:val="18"/>
          <w:lang w:val="es-AR" w:eastAsia="es-ES_tradnl"/>
        </w:rPr>
        <w:t xml:space="preserve"> 762, 765 (1924) (CLA-0134); </w:t>
      </w:r>
      <w:r w:rsidRPr="00EF5625">
        <w:rPr>
          <w:rStyle w:val="Bodytext210pt"/>
          <w:rFonts w:eastAsia="Calibri"/>
          <w:bCs/>
          <w:color w:val="000000"/>
          <w:sz w:val="18"/>
          <w:lang w:val="es-AR" w:eastAsia="es-ES_tradnl"/>
        </w:rPr>
        <w:t>In the Matter of the Claim of Edwin A. Binder, Ann A. Unger, Robert P Anninger, Victor K Anninger &amp; Lise Haas,</w:t>
      </w:r>
      <w:r w:rsidRPr="00EF5625">
        <w:rPr>
          <w:rStyle w:val="Footnote7pt"/>
          <w:rFonts w:ascii="Times New Roman" w:hAnsi="Times New Roman"/>
          <w:bCs/>
          <w:color w:val="000000"/>
          <w:sz w:val="18"/>
          <w:lang w:val="es-AR" w:eastAsia="es-ES_tradnl"/>
        </w:rPr>
        <w:t xml:space="preserve"> Decisión Propuesta por la Comisión, Comisión de Resolución de Reclamaciones Extranjeras de los EE. UU., Decisión No. 1535, 26 de noviembre de 1954, en 2, </w:t>
      </w:r>
      <w:r w:rsidRPr="00EF5625">
        <w:rPr>
          <w:rStyle w:val="Bodytext210pt"/>
          <w:rFonts w:eastAsia="Calibri"/>
          <w:bCs/>
          <w:color w:val="000000"/>
          <w:sz w:val="18"/>
          <w:lang w:val="es-AR" w:eastAsia="es-ES_tradnl"/>
        </w:rPr>
        <w:t xml:space="preserve">ratificada por </w:t>
      </w:r>
      <w:r w:rsidRPr="00EF5625">
        <w:rPr>
          <w:rStyle w:val="Footnote7pt"/>
          <w:rFonts w:ascii="Times New Roman" w:hAnsi="Times New Roman"/>
          <w:bCs/>
          <w:color w:val="000000"/>
          <w:sz w:val="18"/>
          <w:lang w:val="es-AR" w:eastAsia="es-ES_tradnl"/>
        </w:rPr>
        <w:t xml:space="preserve">Decisión Final, 30 de diciembre de 1954 (CLA-0136); </w:t>
      </w:r>
      <w:r w:rsidRPr="00EF5625">
        <w:rPr>
          <w:rStyle w:val="Bodytext210pt"/>
          <w:rFonts w:eastAsia="Calibri"/>
          <w:bCs/>
          <w:color w:val="000000"/>
          <w:sz w:val="18"/>
          <w:lang w:val="es-AR" w:eastAsia="es-ES_tradnl"/>
        </w:rPr>
        <w:t>In the Matter of the Claim of Richard O. Graw, Executor of the Estate of Oscar Meyer, Deceased,</w:t>
      </w:r>
      <w:r w:rsidRPr="00EF5625">
        <w:rPr>
          <w:rStyle w:val="Footnote7pt"/>
          <w:rFonts w:ascii="Times New Roman" w:hAnsi="Times New Roman"/>
          <w:bCs/>
          <w:color w:val="000000"/>
          <w:sz w:val="18"/>
          <w:lang w:val="es-AR" w:eastAsia="es-ES_tradnl"/>
        </w:rPr>
        <w:t xml:space="preserve"> Decisión Propuesta, Comisión de Resolución de Reclamaciones Extranjeras de los EE. UU., Decisión No. PO-8583, 25 de agosto de 1965, en 1-2, </w:t>
      </w:r>
      <w:r w:rsidRPr="00EF5625">
        <w:rPr>
          <w:rStyle w:val="Bodytext210pt"/>
          <w:rFonts w:eastAsia="Calibri"/>
          <w:bCs/>
          <w:color w:val="000000"/>
          <w:sz w:val="18"/>
          <w:lang w:val="es-AR" w:eastAsia="es-ES_tradnl"/>
        </w:rPr>
        <w:t>ratificada por</w:t>
      </w:r>
      <w:r w:rsidRPr="00EF5625">
        <w:rPr>
          <w:rStyle w:val="Footnote7pt"/>
          <w:rFonts w:ascii="Times New Roman" w:hAnsi="Times New Roman"/>
          <w:bCs/>
          <w:color w:val="000000"/>
          <w:sz w:val="18"/>
          <w:lang w:val="es-AR" w:eastAsia="es-ES_tradnl"/>
        </w:rPr>
        <w:t xml:space="preserve"> Decisión Final, 20 de septiembre de 1965 (CLA-0138); </w:t>
      </w:r>
      <w:r w:rsidRPr="00EF5625">
        <w:rPr>
          <w:rStyle w:val="Bodytext210pt"/>
          <w:rFonts w:eastAsia="Calibri"/>
          <w:bCs/>
          <w:color w:val="000000"/>
          <w:sz w:val="18"/>
          <w:lang w:val="es-AR" w:eastAsia="es-ES_tradnl"/>
        </w:rPr>
        <w:t>In theMatter of the Claim of</w:t>
      </w:r>
      <w:r>
        <w:rPr>
          <w:rStyle w:val="Bodytext210pt"/>
          <w:rFonts w:eastAsia="Calibri"/>
          <w:bCs/>
          <w:color w:val="000000"/>
          <w:sz w:val="18"/>
          <w:lang w:val="es-AR" w:eastAsia="es-ES_tradnl"/>
        </w:rPr>
        <w:t xml:space="preserve"> </w:t>
      </w:r>
      <w:r w:rsidRPr="00EF5625">
        <w:rPr>
          <w:rStyle w:val="Bodytext210pt"/>
          <w:rFonts w:eastAsia="Calibri"/>
          <w:bCs/>
          <w:color w:val="000000"/>
          <w:sz w:val="18"/>
          <w:lang w:val="es-AR" w:eastAsia="es-ES_tradnl"/>
        </w:rPr>
        <w:t>The</w:t>
      </w:r>
      <w:r>
        <w:rPr>
          <w:rStyle w:val="Bodytext210pt"/>
          <w:rFonts w:eastAsia="Calibri"/>
          <w:bCs/>
          <w:color w:val="000000"/>
          <w:sz w:val="18"/>
          <w:lang w:val="es-AR" w:eastAsia="es-ES_tradnl"/>
        </w:rPr>
        <w:t xml:space="preserve"> </w:t>
      </w:r>
      <w:r w:rsidRPr="00EF5625">
        <w:rPr>
          <w:rStyle w:val="Bodytext210pt"/>
          <w:rFonts w:eastAsia="Calibri"/>
          <w:bCs/>
          <w:color w:val="000000"/>
          <w:sz w:val="18"/>
          <w:lang w:val="es-AR" w:eastAsia="es-ES_tradnl"/>
        </w:rPr>
        <w:t>Florida National Bank</w:t>
      </w:r>
      <w:r>
        <w:rPr>
          <w:rStyle w:val="Bodytext210pt"/>
          <w:rFonts w:eastAsia="Calibri"/>
          <w:bCs/>
          <w:color w:val="000000"/>
          <w:sz w:val="18"/>
          <w:lang w:val="es-AR" w:eastAsia="es-ES_tradnl"/>
        </w:rPr>
        <w:t xml:space="preserve"> </w:t>
      </w:r>
      <w:r w:rsidRPr="00EF5625">
        <w:rPr>
          <w:rStyle w:val="Bodytext210pt"/>
          <w:rFonts w:eastAsia="Calibri"/>
          <w:bCs/>
          <w:color w:val="000000"/>
          <w:sz w:val="18"/>
          <w:lang w:val="es-AR" w:eastAsia="es-ES_tradnl"/>
        </w:rPr>
        <w:t>&amp; Trust Company</w:t>
      </w:r>
      <w:r>
        <w:rPr>
          <w:rStyle w:val="Bodytext210pt"/>
          <w:rFonts w:eastAsia="Calibri"/>
          <w:bCs/>
          <w:color w:val="000000"/>
          <w:sz w:val="18"/>
          <w:lang w:val="es-AR" w:eastAsia="es-ES_tradnl"/>
        </w:rPr>
        <w:t xml:space="preserve"> </w:t>
      </w:r>
      <w:r w:rsidRPr="00EF5625">
        <w:rPr>
          <w:rStyle w:val="Bodytext210pt"/>
          <w:rFonts w:eastAsia="Calibri"/>
          <w:bCs/>
          <w:color w:val="000000"/>
          <w:sz w:val="18"/>
          <w:lang w:val="es-AR" w:eastAsia="es-ES_tradnl"/>
        </w:rPr>
        <w:t>at</w:t>
      </w:r>
      <w:r>
        <w:rPr>
          <w:rStyle w:val="Bodytext210pt"/>
          <w:rFonts w:eastAsia="Calibri"/>
          <w:bCs/>
          <w:color w:val="000000"/>
          <w:sz w:val="18"/>
          <w:lang w:val="es-AR" w:eastAsia="es-ES_tradnl"/>
        </w:rPr>
        <w:t xml:space="preserve"> </w:t>
      </w:r>
      <w:r w:rsidRPr="00EF5625">
        <w:rPr>
          <w:rStyle w:val="Bodytext210pt"/>
          <w:rFonts w:eastAsia="Calibri"/>
          <w:bCs/>
          <w:color w:val="000000"/>
          <w:sz w:val="18"/>
          <w:lang w:val="es-AR" w:eastAsia="es-ES_tradnl"/>
        </w:rPr>
        <w:t>Miami,</w:t>
      </w:r>
      <w:r w:rsidRPr="00EF5625">
        <w:rPr>
          <w:rStyle w:val="Footnote7pt"/>
          <w:rFonts w:ascii="Times New Roman" w:hAnsi="Times New Roman"/>
          <w:bCs/>
          <w:color w:val="000000"/>
          <w:sz w:val="18"/>
          <w:lang w:val="es-AR" w:eastAsia="es-ES_tradnl"/>
        </w:rPr>
        <w:t xml:space="preserve"> Decisión Propuesta, Comisión de Resolución de Reclamaciones Extranjeras de los EE. UU., Decisión No. CU-5760, 9 de septiembre de 1970 (CLA-0139).</w:t>
      </w:r>
    </w:p>
  </w:footnote>
  <w:footnote w:id="198">
    <w:p w14:paraId="0EDC8039"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párrs. 64-67; Dúplica (Jurisdicción), párrs. 66, 69-71.</w:t>
      </w:r>
    </w:p>
  </w:footnote>
  <w:footnote w:id="199">
    <w:p w14:paraId="3C2FB86A"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Footnote8pt1"/>
          <w:rFonts w:ascii="Times New Roman" w:hAnsi="Times New Roman"/>
          <w:bCs/>
          <w:color w:val="000000"/>
          <w:sz w:val="18"/>
          <w:lang w:val="es-AR" w:eastAsia="es-ES_tradnl"/>
        </w:rPr>
        <w:t>James M. Saghi, MichaelR. Saghi</w:t>
      </w:r>
      <w:r>
        <w:rPr>
          <w:rStyle w:val="Footnote8pt1"/>
          <w:rFonts w:ascii="Times New Roman" w:hAnsi="Times New Roman"/>
          <w:bCs/>
          <w:color w:val="000000"/>
          <w:sz w:val="18"/>
          <w:lang w:val="es-AR" w:eastAsia="es-ES_tradnl"/>
        </w:rPr>
        <w:t xml:space="preserve"> </w:t>
      </w:r>
      <w:r w:rsidRPr="00EF5625">
        <w:rPr>
          <w:rStyle w:val="Footnote8pt1"/>
          <w:rFonts w:ascii="Times New Roman" w:hAnsi="Times New Roman"/>
          <w:bCs/>
          <w:color w:val="000000"/>
          <w:sz w:val="18"/>
          <w:lang w:val="es-AR" w:eastAsia="es-ES_tradnl"/>
        </w:rPr>
        <w:t>&amp;</w:t>
      </w:r>
      <w:r>
        <w:rPr>
          <w:rStyle w:val="Footnote8pt1"/>
          <w:rFonts w:ascii="Times New Roman" w:hAnsi="Times New Roman"/>
          <w:bCs/>
          <w:color w:val="000000"/>
          <w:sz w:val="18"/>
          <w:lang w:val="es-AR" w:eastAsia="es-ES_tradnl"/>
        </w:rPr>
        <w:t xml:space="preserve"> </w:t>
      </w:r>
      <w:r w:rsidRPr="00EF5625">
        <w:rPr>
          <w:rStyle w:val="Footnote8pt1"/>
          <w:rFonts w:ascii="Times New Roman" w:hAnsi="Times New Roman"/>
          <w:bCs/>
          <w:color w:val="000000"/>
          <w:sz w:val="18"/>
          <w:lang w:val="es-AR" w:eastAsia="es-ES_tradnl"/>
        </w:rPr>
        <w:t>Allan J. Saghi</w:t>
      </w:r>
      <w:r>
        <w:rPr>
          <w:rStyle w:val="Footnote8pt1"/>
          <w:rFonts w:ascii="Times New Roman" w:hAnsi="Times New Roman"/>
          <w:bCs/>
          <w:color w:val="000000"/>
          <w:sz w:val="18"/>
          <w:lang w:val="es-AR" w:eastAsia="es-ES_tradnl"/>
        </w:rPr>
        <w:t xml:space="preserve"> </w:t>
      </w:r>
      <w:r w:rsidRPr="00EF5625">
        <w:rPr>
          <w:rStyle w:val="Footnote8pt1"/>
          <w:rFonts w:ascii="Times New Roman" w:hAnsi="Times New Roman"/>
          <w:bCs/>
          <w:color w:val="000000"/>
          <w:sz w:val="18"/>
          <w:lang w:val="es-AR" w:eastAsia="es-ES_tradnl"/>
        </w:rPr>
        <w:t>c. República Islámica deIrán,</w:t>
      </w:r>
      <w:r w:rsidRPr="00EF5625">
        <w:rPr>
          <w:rStyle w:val="Footnote7pt1"/>
          <w:rFonts w:ascii="Times New Roman" w:hAnsi="Times New Roman"/>
          <w:bCs/>
          <w:color w:val="000000"/>
          <w:sz w:val="18"/>
          <w:lang w:val="es-AR" w:eastAsia="es-ES_tradnl"/>
        </w:rPr>
        <w:t xml:space="preserve"> Laudo No. 544-298-2,22 de enero de 1993, párrs. 18</w:t>
      </w:r>
      <w:r w:rsidRPr="00EF5625">
        <w:rPr>
          <w:rStyle w:val="Footnote7pt"/>
          <w:rFonts w:ascii="Times New Roman" w:hAnsi="Times New Roman"/>
          <w:bCs/>
          <w:color w:val="000000"/>
          <w:sz w:val="18"/>
          <w:lang w:val="es-AR" w:eastAsia="es-ES_tradnl"/>
        </w:rPr>
        <w:t xml:space="preserve">, </w:t>
      </w:r>
      <w:r w:rsidRPr="00EF5625">
        <w:rPr>
          <w:rStyle w:val="Footnote7pt1"/>
          <w:rFonts w:ascii="Times New Roman" w:hAnsi="Times New Roman"/>
          <w:bCs/>
          <w:color w:val="000000"/>
          <w:sz w:val="18"/>
          <w:lang w:val="es-AR" w:eastAsia="es-ES_tradnl"/>
        </w:rPr>
        <w:t xml:space="preserve">25-26 </w:t>
      </w:r>
      <w:r w:rsidRPr="00EF5625">
        <w:rPr>
          <w:rStyle w:val="Footnote7pt"/>
          <w:rFonts w:ascii="Times New Roman" w:hAnsi="Times New Roman"/>
          <w:bCs/>
          <w:color w:val="000000"/>
          <w:sz w:val="18"/>
          <w:lang w:val="es-AR" w:eastAsia="es-ES_tradnl"/>
        </w:rPr>
        <w:t>(CLA-0144). Los Demandantes postulan que el IUSCT, que conoció este caso, "funciona de acuerdo a una versión modificada del Reglamento de Arbitraje de la CNUDMI, [y por tanto] su jurisprudencia es particularmente relevante en un arbitraje ante la CNUDMI como el presente". Escrito de Contestación (Jurisdicción), párr. 63.</w:t>
      </w:r>
    </w:p>
  </w:footnote>
  <w:footnote w:id="200">
    <w:p w14:paraId="0DC28CB5" w14:textId="77777777" w:rsidR="003468CF" w:rsidRPr="00FA27EE"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Footnote8pt1"/>
          <w:rFonts w:ascii="Times New Roman" w:hAnsi="Times New Roman"/>
          <w:bCs/>
          <w:color w:val="000000"/>
          <w:sz w:val="18"/>
          <w:lang w:val="es-AR" w:eastAsia="es-ES_tradnl"/>
        </w:rPr>
        <w:t>Perenco Ecuador Ltd. c. República del Ecuador,</w:t>
      </w:r>
      <w:r w:rsidRPr="00EF5625">
        <w:rPr>
          <w:rStyle w:val="Footnote7pt1"/>
          <w:rFonts w:ascii="Times New Roman" w:hAnsi="Times New Roman"/>
          <w:bCs/>
          <w:color w:val="000000"/>
          <w:sz w:val="18"/>
          <w:lang w:val="es-AR" w:eastAsia="es-ES_tradnl"/>
        </w:rPr>
        <w:t xml:space="preserve"> Caso CIADI No. ARB/08/6, Decisión sobre las Cuestiones Pendientes relativas a la Jurisdicción y sobre la Responsabilidad, 12 de septiembre de 2014, párr. 522 </w:t>
      </w:r>
      <w:r w:rsidRPr="00EF5625">
        <w:rPr>
          <w:rStyle w:val="Footnote7pt"/>
          <w:rFonts w:ascii="Times New Roman" w:hAnsi="Times New Roman"/>
          <w:bCs/>
          <w:color w:val="000000"/>
          <w:sz w:val="18"/>
          <w:lang w:val="es-AR" w:eastAsia="es-ES_tradnl"/>
        </w:rPr>
        <w:t xml:space="preserve">(CLA-0085); </w:t>
      </w:r>
      <w:r w:rsidRPr="00EF5625">
        <w:rPr>
          <w:rStyle w:val="Footnote8pt1"/>
          <w:rFonts w:ascii="Times New Roman" w:hAnsi="Times New Roman"/>
          <w:bCs/>
          <w:color w:val="000000"/>
          <w:sz w:val="18"/>
          <w:lang w:val="es-AR" w:eastAsia="es-ES_tradnl"/>
        </w:rPr>
        <w:t>Occidental Petroleum Corp. &amp; Occidental Exploration &amp; Production Co. c. República del Ecuador,</w:t>
      </w:r>
      <w:r w:rsidRPr="00EF5625">
        <w:rPr>
          <w:rStyle w:val="Footnote7pt1"/>
          <w:rFonts w:ascii="Times New Roman" w:hAnsi="Times New Roman"/>
          <w:bCs/>
          <w:color w:val="000000"/>
          <w:sz w:val="18"/>
          <w:lang w:val="es-AR" w:eastAsia="es-ES_tradnl"/>
        </w:rPr>
        <w:t xml:space="preserve"> Caso CIADI No. ARB/06/11, Opinión Disidente de la profesora Brigitte Stem, 20 de septiembre de 2012, párrs. </w:t>
      </w:r>
      <w:r w:rsidRPr="00FA27EE">
        <w:rPr>
          <w:rStyle w:val="Footnote7pt1"/>
          <w:rFonts w:ascii="Times New Roman" w:hAnsi="Times New Roman"/>
          <w:bCs/>
          <w:color w:val="000000"/>
          <w:sz w:val="18"/>
          <w:lang w:val="es-AR" w:eastAsia="es-ES_tradnl"/>
        </w:rPr>
        <w:t>148-149</w:t>
      </w:r>
      <w:r w:rsidRPr="00FA27EE">
        <w:rPr>
          <w:rStyle w:val="Footnote7pt"/>
          <w:rFonts w:ascii="Times New Roman" w:hAnsi="Times New Roman"/>
          <w:bCs/>
          <w:color w:val="000000"/>
          <w:sz w:val="18"/>
          <w:lang w:val="es-AR" w:eastAsia="es-ES_tradnl"/>
        </w:rPr>
        <w:t>, 151, 272 (CLA-0150).</w:t>
      </w:r>
    </w:p>
  </w:footnote>
  <w:footnote w:id="201">
    <w:p w14:paraId="7B9CB931" w14:textId="77777777" w:rsidR="003468CF" w:rsidRPr="00F21F41" w:rsidRDefault="003468CF" w:rsidP="00F21F41">
      <w:pPr>
        <w:pStyle w:val="FootnoteText"/>
        <w:tabs>
          <w:tab w:val="left" w:pos="284"/>
        </w:tabs>
        <w:spacing w:before="180"/>
        <w:rPr>
          <w:rFonts w:ascii="Times New Roman" w:hAnsi="Times New Roman"/>
          <w:b/>
          <w:sz w:val="18"/>
          <w:lang w:val="es-AR"/>
        </w:rPr>
      </w:pPr>
      <w:r w:rsidRPr="00F21F41">
        <w:rPr>
          <w:rStyle w:val="FootnoteReference"/>
          <w:rFonts w:ascii="Times New Roman" w:hAnsi="Times New Roman"/>
          <w:sz w:val="18"/>
        </w:rPr>
        <w:footnoteRef/>
      </w:r>
      <w:r>
        <w:rPr>
          <w:rFonts w:ascii="Times New Roman" w:hAnsi="Times New Roman"/>
          <w:sz w:val="18"/>
          <w:lang w:val="es-AR"/>
        </w:rPr>
        <w:tab/>
      </w:r>
      <w:r w:rsidRPr="00F21F41">
        <w:rPr>
          <w:rStyle w:val="Footnote7pt"/>
          <w:rFonts w:ascii="Times New Roman" w:hAnsi="Times New Roman"/>
          <w:b w:val="0"/>
          <w:bCs w:val="0"/>
          <w:sz w:val="18"/>
          <w:lang w:val="es-AR" w:eastAsia="es-ES_tradnl"/>
        </w:rPr>
        <w:t>Escrito de Contestación (Jurisdicción), párrs. 74-75.</w:t>
      </w:r>
    </w:p>
  </w:footnote>
  <w:footnote w:id="202">
    <w:p w14:paraId="46798AE8" w14:textId="77777777" w:rsidR="003468CF" w:rsidRPr="00F21F41" w:rsidRDefault="003468CF" w:rsidP="00FA27EE">
      <w:pPr>
        <w:pStyle w:val="FootnoteText"/>
        <w:tabs>
          <w:tab w:val="left" w:pos="284"/>
        </w:tabs>
        <w:spacing w:before="180"/>
        <w:rPr>
          <w:lang w:val="es-AR"/>
        </w:rPr>
      </w:pPr>
      <w:r w:rsidRPr="00FA27EE">
        <w:rPr>
          <w:rStyle w:val="Footnote7pt"/>
          <w:rFonts w:ascii="Times New Roman" w:eastAsia="Calibri" w:hAnsi="Times New Roman"/>
          <w:b w:val="0"/>
          <w:sz w:val="18"/>
          <w:vertAlign w:val="superscript"/>
          <w:lang w:eastAsia="es-ES_tradnl"/>
        </w:rPr>
        <w:footnoteRef/>
      </w:r>
      <w:r w:rsidRPr="00F21F41">
        <w:rPr>
          <w:rStyle w:val="Footnote7pt"/>
          <w:rFonts w:ascii="Times New Roman" w:eastAsia="Calibri" w:hAnsi="Times New Roman"/>
          <w:b w:val="0"/>
          <w:sz w:val="18"/>
          <w:vertAlign w:val="superscript"/>
          <w:lang w:val="es-AR" w:eastAsia="es-ES_tradnl"/>
        </w:rPr>
        <w:tab/>
      </w:r>
      <w:r w:rsidRPr="00FA27EE">
        <w:rPr>
          <w:rStyle w:val="Bodytext210pt"/>
          <w:rFonts w:eastAsia="Calibri"/>
          <w:b w:val="0"/>
          <w:bCs w:val="0"/>
          <w:sz w:val="18"/>
          <w:lang w:val="es-AR" w:eastAsia="es-ES_tradnl"/>
        </w:rPr>
        <w:t>Id.</w:t>
      </w:r>
      <w:r w:rsidRPr="00FA27EE">
        <w:rPr>
          <w:rStyle w:val="Footnote7pt"/>
          <w:rFonts w:ascii="Times New Roman" w:hAnsi="Times New Roman"/>
          <w:b w:val="0"/>
          <w:bCs w:val="0"/>
          <w:sz w:val="18"/>
          <w:lang w:val="es-AR" w:eastAsia="es-ES_tradnl"/>
        </w:rPr>
        <w:t xml:space="preserve"> en 4.</w:t>
      </w:r>
    </w:p>
  </w:footnote>
  <w:footnote w:id="203">
    <w:p w14:paraId="3FD2B4BB" w14:textId="77777777" w:rsidR="003468CF" w:rsidRPr="00BA5A0D" w:rsidRDefault="003468CF" w:rsidP="00BA5A0D">
      <w:pPr>
        <w:pStyle w:val="FootnoteText"/>
        <w:tabs>
          <w:tab w:val="left" w:pos="284"/>
        </w:tabs>
        <w:spacing w:before="180"/>
        <w:rPr>
          <w:lang w:val="es-AR"/>
        </w:rPr>
      </w:pPr>
      <w:r w:rsidRPr="00BA5A0D">
        <w:rPr>
          <w:rStyle w:val="Footnote7pt"/>
          <w:rFonts w:ascii="Times New Roman" w:eastAsia="Calibri" w:hAnsi="Times New Roman"/>
          <w:b w:val="0"/>
          <w:sz w:val="18"/>
          <w:vertAlign w:val="superscript"/>
          <w:lang w:eastAsia="es-ES_tradnl"/>
        </w:rPr>
        <w:footnoteRef/>
      </w:r>
      <w:r w:rsidRPr="00BA5A0D">
        <w:rPr>
          <w:rStyle w:val="Footnote7pt"/>
          <w:rFonts w:ascii="Times New Roman" w:eastAsia="Calibri" w:hAnsi="Times New Roman"/>
          <w:b w:val="0"/>
          <w:sz w:val="18"/>
          <w:vertAlign w:val="superscript"/>
          <w:lang w:val="es-AR" w:eastAsia="es-ES_tradnl"/>
        </w:rPr>
        <w:t xml:space="preserve"> </w:t>
      </w:r>
      <w:r w:rsidRPr="00BA5A0D">
        <w:rPr>
          <w:rStyle w:val="Footnote7pt"/>
          <w:rFonts w:ascii="Times New Roman" w:eastAsia="Calibri" w:hAnsi="Times New Roman"/>
          <w:b w:val="0"/>
          <w:sz w:val="18"/>
          <w:vertAlign w:val="superscript"/>
          <w:lang w:val="es-AR" w:eastAsia="es-ES_tradnl"/>
        </w:rPr>
        <w:tab/>
      </w:r>
      <w:r w:rsidRPr="00BA5A0D">
        <w:rPr>
          <w:rFonts w:ascii="Times New Roman" w:hAnsi="Times New Roman"/>
          <w:i/>
          <w:sz w:val="18"/>
          <w:lang w:val="es-AR"/>
        </w:rPr>
        <w:t>Id.</w:t>
      </w:r>
    </w:p>
  </w:footnote>
  <w:footnote w:id="204">
    <w:p w14:paraId="116C4A98" w14:textId="77777777" w:rsidR="003468CF" w:rsidRPr="00F21F41" w:rsidRDefault="003468CF" w:rsidP="00BA5A0D">
      <w:pPr>
        <w:pStyle w:val="FootnoteText"/>
        <w:tabs>
          <w:tab w:val="left" w:pos="284"/>
        </w:tabs>
        <w:spacing w:before="180"/>
        <w:rPr>
          <w:rFonts w:ascii="Times New Roman" w:hAnsi="Times New Roman"/>
          <w:b/>
          <w:sz w:val="18"/>
          <w:lang w:val="es-AR"/>
        </w:rPr>
      </w:pPr>
      <w:r w:rsidRPr="001011AD">
        <w:rPr>
          <w:rStyle w:val="FootnoteReference"/>
          <w:rFonts w:ascii="Times New Roman" w:hAnsi="Times New Roman"/>
          <w:sz w:val="18"/>
        </w:rPr>
        <w:footnoteRef/>
      </w:r>
      <w:r>
        <w:rPr>
          <w:rStyle w:val="Footnote38pt"/>
          <w:rFonts w:ascii="Times New Roman" w:hAnsi="Times New Roman"/>
          <w:b w:val="0"/>
          <w:bCs w:val="0"/>
          <w:i w:val="0"/>
          <w:iCs w:val="0"/>
          <w:sz w:val="18"/>
          <w:lang w:val="es-AR" w:eastAsia="es-ES_tradnl"/>
        </w:rPr>
        <w:tab/>
      </w:r>
      <w:r w:rsidRPr="00EF0E93">
        <w:rPr>
          <w:rStyle w:val="Footnote38pt"/>
          <w:rFonts w:ascii="Times New Roman" w:hAnsi="Times New Roman"/>
          <w:b w:val="0"/>
          <w:bCs w:val="0"/>
          <w:iCs w:val="0"/>
          <w:sz w:val="18"/>
          <w:lang w:val="es-AR" w:eastAsia="es-ES_tradnl"/>
        </w:rPr>
        <w:t>Id. en 24, 27; Dúplica (Jurisdicción), párrs. 99-102.</w:t>
      </w:r>
    </w:p>
  </w:footnote>
  <w:footnote w:id="205">
    <w:p w14:paraId="027668D6"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Escrito de Contestación (Jurisdicción), párr. 22; Primer informe pericial de Brian Green QC, 12 de junio de 2019, párr, 23, notas 15-16 (CER-4) ("Primer informe de Green"), donde se describen estas disposiciones como una característica "habitual" de un </w:t>
      </w:r>
      <w:r w:rsidRPr="00EF5625">
        <w:rPr>
          <w:rStyle w:val="Bodytext210pt"/>
          <w:rFonts w:eastAsia="Calibri"/>
          <w:bCs/>
          <w:color w:val="000000"/>
          <w:sz w:val="18"/>
          <w:lang w:val="es-AR" w:eastAsia="es-ES_tradnl"/>
        </w:rPr>
        <w:t>trust</w:t>
      </w:r>
      <w:r w:rsidRPr="00EF5625">
        <w:rPr>
          <w:rStyle w:val="Footnote7pt"/>
          <w:rFonts w:ascii="Times New Roman" w:hAnsi="Times New Roman"/>
          <w:bCs/>
          <w:color w:val="000000"/>
          <w:sz w:val="18"/>
          <w:lang w:val="es-AR" w:eastAsia="es-ES_tradnl"/>
        </w:rPr>
        <w:t xml:space="preserve"> de las Islas Caimán.</w:t>
      </w:r>
    </w:p>
  </w:footnote>
  <w:footnote w:id="206">
    <w:p w14:paraId="13A09563" w14:textId="77777777" w:rsidR="003468CF" w:rsidRPr="00EF5625" w:rsidRDefault="003468CF" w:rsidP="00AE5C72">
      <w:pPr>
        <w:pStyle w:val="Footnote30"/>
        <w:shd w:val="clear" w:color="auto" w:fill="auto"/>
        <w:tabs>
          <w:tab w:val="left" w:pos="284"/>
        </w:tabs>
        <w:spacing w:before="180" w:line="240" w:lineRule="auto"/>
        <w:rPr>
          <w:rFonts w:ascii="Times New Roman" w:hAnsi="Times New Roman"/>
          <w:b w:val="0"/>
          <w:sz w:val="18"/>
          <w:lang w:val="es-AR"/>
        </w:rPr>
      </w:pPr>
      <w:r w:rsidRPr="00EF5625">
        <w:rPr>
          <w:rStyle w:val="Footnote38pt"/>
          <w:rFonts w:ascii="Times New Roman" w:hAnsi="Times New Roman"/>
          <w:bCs/>
          <w:i/>
          <w:iCs/>
          <w:color w:val="000000"/>
          <w:sz w:val="18"/>
          <w:vertAlign w:val="superscript"/>
          <w:lang w:eastAsia="es-ES_tradnl"/>
        </w:rPr>
        <w:footnoteRef/>
      </w:r>
      <w:r w:rsidRPr="00EF5625">
        <w:rPr>
          <w:rStyle w:val="Footnote38pt"/>
          <w:rFonts w:ascii="Times New Roman" w:hAnsi="Times New Roman"/>
          <w:bCs/>
          <w:i/>
          <w:iCs/>
          <w:color w:val="000000"/>
          <w:sz w:val="18"/>
          <w:lang w:val="es-AR" w:eastAsia="es-ES_tradnl"/>
        </w:rPr>
        <w:tab/>
        <w:t>Escrito de Contestación (Jurisdicción), párrs. 24, 27; Dúplica (Jurisdicción), párrs. 99-102.</w:t>
      </w:r>
    </w:p>
  </w:footnote>
  <w:footnote w:id="207">
    <w:p w14:paraId="128FC0ED"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37.</w:t>
      </w:r>
    </w:p>
  </w:footnote>
  <w:footnote w:id="208">
    <w:p w14:paraId="2FE8F2EE"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19 (énfasis omitido); Declaración de Jiwarajka, párrs. 22, 26 (CWS-6); Declaración testimonial de Siddharth Mehta, 12 de junio de 2019, párr. 12 (CWS-7) ("Declaración de Mehta").</w:t>
      </w:r>
    </w:p>
  </w:footnote>
  <w:footnote w:id="209">
    <w:p w14:paraId="16BC5C18"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24.</w:t>
      </w:r>
    </w:p>
  </w:footnote>
  <w:footnote w:id="210">
    <w:p w14:paraId="5325D112"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Escrito de Contestación (Jurisdicción), párr. 33; Declaración de Mehta, párrs. 4-5, 9 (CWS-7); Declaración de Jiwarajka, párrs. 14, 16 (CWS-6). Los Demandantes añaden que los "otros descendientes", es decir, los nietos del Sr. Agarwal, nunca fueron titulares de un interés legítimo en virtud del </w:t>
      </w:r>
      <w:r w:rsidRPr="00EF5625">
        <w:rPr>
          <w:rStyle w:val="Bodytext210pt"/>
          <w:rFonts w:eastAsia="Calibri"/>
          <w:bCs/>
          <w:color w:val="000000"/>
          <w:sz w:val="18"/>
          <w:lang w:val="es-AR" w:eastAsia="es-ES_tradnl"/>
        </w:rPr>
        <w:t>Trust</w:t>
      </w:r>
      <w:r w:rsidRPr="00EF5625">
        <w:rPr>
          <w:rStyle w:val="Footnote7pt"/>
          <w:rFonts w:ascii="Times New Roman" w:hAnsi="Times New Roman"/>
          <w:bCs/>
          <w:color w:val="000000"/>
          <w:sz w:val="18"/>
          <w:lang w:val="es-AR" w:eastAsia="es-ES_tradnl"/>
        </w:rPr>
        <w:t xml:space="preserve"> (Escrito de Contestación (Jurisdicción), párr. 26, Primer informe de Green, párr. 170 (CER-4)).</w:t>
      </w:r>
    </w:p>
  </w:footnote>
  <w:footnote w:id="211">
    <w:p w14:paraId="6CD27CE6"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Escrito de Contestación (Jurisdicción), párr. 31; </w:t>
      </w:r>
      <w:r w:rsidRPr="00EF5625">
        <w:rPr>
          <w:rStyle w:val="Bodytext210pt"/>
          <w:rFonts w:eastAsia="Calibri"/>
          <w:bCs/>
          <w:color w:val="000000"/>
          <w:sz w:val="18"/>
          <w:lang w:val="es-AR" w:eastAsia="es-ES_tradnl"/>
        </w:rPr>
        <w:t>Véase</w:t>
      </w:r>
      <w:r w:rsidRPr="00EF5625">
        <w:rPr>
          <w:rStyle w:val="Footnote7pt"/>
          <w:rFonts w:ascii="Times New Roman" w:hAnsi="Times New Roman"/>
          <w:bCs/>
          <w:color w:val="000000"/>
          <w:sz w:val="18"/>
          <w:lang w:val="es-AR" w:eastAsia="es-ES_tradnl"/>
        </w:rPr>
        <w:t xml:space="preserve"> Primer informe de Green, párrs. 80, 97 (CER-4): "[e]l hecho de que la redacción de la carta de deseos no transmitía expresiones de deseos, y exigía y obtuvo del Sr. Jiwarajka la aceptación de sus términos tras su designación como Protector y en relación con ella, solo pudo haber servido para resaltar la importancia que el Sr. Agarwal le daba a la carta".</w:t>
      </w:r>
    </w:p>
  </w:footnote>
  <w:footnote w:id="212">
    <w:p w14:paraId="620E69D4"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Primer informe de Green, párr. 29 (CER-4).</w:t>
      </w:r>
    </w:p>
  </w:footnote>
  <w:footnote w:id="213">
    <w:p w14:paraId="5DFEE7F8"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Escrito de Contestación (Jurisdicción), párrs. 34-35; </w:t>
      </w:r>
      <w:r w:rsidRPr="00EF5625">
        <w:rPr>
          <w:rStyle w:val="Bodytext210pt"/>
          <w:rFonts w:eastAsia="Calibri"/>
          <w:bCs/>
          <w:color w:val="000000"/>
          <w:sz w:val="18"/>
          <w:lang w:val="es-AR" w:eastAsia="es-ES_tradnl"/>
        </w:rPr>
        <w:t>véase</w:t>
      </w:r>
      <w:r w:rsidRPr="00EF5625">
        <w:rPr>
          <w:rStyle w:val="Footnote7pt"/>
          <w:rFonts w:ascii="Times New Roman" w:hAnsi="Times New Roman"/>
          <w:bCs/>
          <w:color w:val="000000"/>
          <w:sz w:val="18"/>
          <w:lang w:val="es-AR" w:eastAsia="es-ES_tradnl"/>
        </w:rPr>
        <w:t xml:space="preserve"> Declaración de Mehta, párr. 6 (CWS-7), donde se confirma que compartía dicho entendimiento sobre la naturaleza vinculante de la Carta de deseos.</w:t>
      </w:r>
    </w:p>
  </w:footnote>
  <w:footnote w:id="214">
    <w:p w14:paraId="1715FBE6"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41, nota 81.</w:t>
      </w:r>
    </w:p>
  </w:footnote>
  <w:footnote w:id="215">
    <w:p w14:paraId="416D621F"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Los señores Jiwarajka y Mehta avalan que esto atañería también a la distribución de ingresos en un "evento de liquidez" con respecto a los bienes del Proyecto Valentines (Declaración de Jiwarajka, párr. 14 (CWS-6); Declaración de Mehta, párrs. 4-6 (CWS-7)).</w:t>
      </w:r>
    </w:p>
  </w:footnote>
  <w:footnote w:id="216">
    <w:p w14:paraId="1C5A289D"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Declaración de Jiwarajka, párrs. 19-21 (CWS-6); Declaración de Mehta, párrs. 10-12 (CWS-7); Escrito de Contestación (Jurisdicción), párr. 43.</w:t>
      </w:r>
    </w:p>
  </w:footnote>
  <w:footnote w:id="217">
    <w:p w14:paraId="49D4D159"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Designación y destitución de </w:t>
      </w:r>
      <w:r w:rsidRPr="00EF5625">
        <w:rPr>
          <w:rStyle w:val="Bodytext210pt"/>
          <w:rFonts w:eastAsia="Calibri"/>
          <w:bCs/>
          <w:color w:val="000000"/>
          <w:sz w:val="18"/>
          <w:lang w:val="es-AR" w:eastAsia="es-ES_tradnl"/>
        </w:rPr>
        <w:t>Trustees,</w:t>
      </w:r>
      <w:r w:rsidRPr="00EF5625">
        <w:rPr>
          <w:rStyle w:val="Footnote7pt"/>
          <w:rFonts w:ascii="Times New Roman" w:hAnsi="Times New Roman"/>
          <w:bCs/>
          <w:color w:val="000000"/>
          <w:sz w:val="18"/>
          <w:lang w:val="es-AR" w:eastAsia="es-ES_tradnl"/>
        </w:rPr>
        <w:t xml:space="preserve"> 8 de octubre de 2010 (C-0243).</w:t>
      </w:r>
    </w:p>
  </w:footnote>
  <w:footnote w:id="218">
    <w:p w14:paraId="047013A9"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37.</w:t>
      </w:r>
    </w:p>
  </w:footnote>
  <w:footnote w:id="219">
    <w:p w14:paraId="5AAEE314"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84.</w:t>
      </w:r>
    </w:p>
  </w:footnote>
  <w:footnote w:id="220">
    <w:p w14:paraId="024A6850"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párrs. 87-88.</w:t>
      </w:r>
    </w:p>
  </w:footnote>
  <w:footnote w:id="221">
    <w:p w14:paraId="7B9063B4"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92.</w:t>
      </w:r>
    </w:p>
  </w:footnote>
  <w:footnote w:id="222">
    <w:p w14:paraId="6D4DFBC2"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93; TBI, art. 1(c), (d) (C-0001).</w:t>
      </w:r>
    </w:p>
  </w:footnote>
  <w:footnote w:id="223">
    <w:p w14:paraId="63C02CB2"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94.</w:t>
      </w:r>
    </w:p>
  </w:footnote>
  <w:footnote w:id="224">
    <w:p w14:paraId="5E7FA62B"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Footnote7pt1"/>
          <w:rFonts w:ascii="Times New Roman" w:hAnsi="Times New Roman"/>
          <w:bCs/>
          <w:color w:val="000000"/>
          <w:sz w:val="18"/>
          <w:lang w:val="es-AR" w:eastAsia="es-ES_tradnl"/>
        </w:rPr>
        <w:t xml:space="preserve">TBI, art. 2(2) </w:t>
      </w:r>
      <w:r w:rsidRPr="00EF5625">
        <w:rPr>
          <w:rStyle w:val="Footnote7pt"/>
          <w:rFonts w:ascii="Times New Roman" w:hAnsi="Times New Roman"/>
          <w:bCs/>
          <w:color w:val="000000"/>
          <w:sz w:val="18"/>
          <w:lang w:val="es-AR" w:eastAsia="es-ES_tradnl"/>
        </w:rPr>
        <w:t>(C-0001) (énfasis del Tribunal).</w:t>
      </w:r>
    </w:p>
  </w:footnote>
  <w:footnote w:id="225">
    <w:p w14:paraId="6216A2F9"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Id.</w:t>
      </w:r>
      <w:r w:rsidRPr="00EF5625">
        <w:rPr>
          <w:rStyle w:val="Footnote7pt"/>
          <w:rFonts w:ascii="Times New Roman" w:hAnsi="Times New Roman"/>
          <w:bCs/>
          <w:color w:val="000000"/>
          <w:sz w:val="18"/>
          <w:lang w:val="es-AR" w:eastAsia="es-ES_tradnl"/>
        </w:rPr>
        <w:t xml:space="preserve"> en 1(a).</w:t>
      </w:r>
    </w:p>
  </w:footnote>
  <w:footnote w:id="226">
    <w:p w14:paraId="1977251E"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Primer informe de Reisman, párr. 4 (CER-3).</w:t>
      </w:r>
    </w:p>
  </w:footnote>
  <w:footnote w:id="227">
    <w:p w14:paraId="0AD7B0A4"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Id.</w:t>
      </w:r>
    </w:p>
  </w:footnote>
  <w:footnote w:id="228">
    <w:p w14:paraId="0FA034A9"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98.</w:t>
      </w:r>
    </w:p>
  </w:footnote>
  <w:footnote w:id="229">
    <w:p w14:paraId="1010E9E6"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11; Primer informe de Reisman, párr. 13 (CER-3).</w:t>
      </w:r>
    </w:p>
  </w:footnote>
  <w:footnote w:id="230">
    <w:p w14:paraId="73E9E05D"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párrs. 99-101.</w:t>
      </w:r>
    </w:p>
  </w:footnote>
  <w:footnote w:id="231">
    <w:p w14:paraId="6E513862"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106.</w:t>
      </w:r>
    </w:p>
  </w:footnote>
  <w:footnote w:id="232">
    <w:p w14:paraId="3CECF752"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Escrito de Contestación (Jurisdicción), párr. 107, Primer informe de Green, párrs. 3-4, 58 (CER-4). Los Demandantes sostienen que los tribunales de las Islas Caimán también aplican un enfoque práctico, más que riguroso, para establecer si una relación de </w:t>
      </w:r>
      <w:r w:rsidRPr="00EF5625">
        <w:rPr>
          <w:rStyle w:val="Bodytext210pt"/>
          <w:rFonts w:eastAsia="Calibri"/>
          <w:bCs/>
          <w:color w:val="000000"/>
          <w:sz w:val="18"/>
          <w:lang w:val="es-AR" w:eastAsia="es-ES_tradnl"/>
        </w:rPr>
        <w:t>trust</w:t>
      </w:r>
      <w:r w:rsidRPr="00EF5625">
        <w:rPr>
          <w:rStyle w:val="Footnote7pt"/>
          <w:rFonts w:ascii="Times New Roman" w:hAnsi="Times New Roman"/>
          <w:bCs/>
          <w:color w:val="000000"/>
          <w:sz w:val="18"/>
          <w:lang w:val="es-AR" w:eastAsia="es-ES_tradnl"/>
        </w:rPr>
        <w:t xml:space="preserve"> constituye un </w:t>
      </w:r>
      <w:r w:rsidRPr="00EF5625">
        <w:rPr>
          <w:rStyle w:val="Bodytext210pt"/>
          <w:rFonts w:eastAsia="Calibri"/>
          <w:bCs/>
          <w:color w:val="000000"/>
          <w:sz w:val="18"/>
          <w:lang w:val="es-AR" w:eastAsia="es-ES_tradnl"/>
        </w:rPr>
        <w:t>beneficial interest,</w:t>
      </w:r>
      <w:r w:rsidRPr="00EF5625">
        <w:rPr>
          <w:rStyle w:val="Footnote7pt"/>
          <w:rFonts w:ascii="Times New Roman" w:hAnsi="Times New Roman"/>
          <w:bCs/>
          <w:color w:val="000000"/>
          <w:sz w:val="18"/>
          <w:lang w:val="es-AR" w:eastAsia="es-ES_tradnl"/>
        </w:rPr>
        <w:t xml:space="preserve"> teniendo en cuenta el contexto -en este caso, el texto del TBI y el derecho internacional- a fin de concluir si una parte tiene un interés ejercitable sobre los bienes de un </w:t>
      </w:r>
      <w:r w:rsidRPr="00EF5625">
        <w:rPr>
          <w:rStyle w:val="Bodytext210pt"/>
          <w:rFonts w:eastAsia="Calibri"/>
          <w:bCs/>
          <w:color w:val="000000"/>
          <w:sz w:val="18"/>
          <w:lang w:val="es-AR" w:eastAsia="es-ES_tradnl"/>
        </w:rPr>
        <w:t>trust</w:t>
      </w:r>
      <w:r w:rsidRPr="00EF5625">
        <w:rPr>
          <w:rStyle w:val="Footnote7pt"/>
          <w:rFonts w:ascii="Times New Roman" w:hAnsi="Times New Roman"/>
          <w:bCs/>
          <w:color w:val="000000"/>
          <w:sz w:val="18"/>
          <w:lang w:val="es-AR" w:eastAsia="es-ES_tradnl"/>
        </w:rPr>
        <w:t xml:space="preserve"> (Dúplica (Jurisdicción), párrs. 90-93; Segundo informe pericial de Brian Green QC, 3 de enero de 2020, párrs. 11-12 (CER-14) ("Segundo informe de Green")).</w:t>
      </w:r>
    </w:p>
  </w:footnote>
  <w:footnote w:id="233">
    <w:p w14:paraId="69D8D808"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Primer informe de Green, párr. 84 (CER-4).</w:t>
      </w:r>
    </w:p>
  </w:footnote>
  <w:footnote w:id="234">
    <w:p w14:paraId="3EE4A38B"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108.</w:t>
      </w:r>
    </w:p>
  </w:footnote>
  <w:footnote w:id="235">
    <w:p w14:paraId="6462CFE7"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Primer informe de Green, párr. 107 (CER-4); Tr. audiencia, día 15, 3654:16-3655:5.</w:t>
      </w:r>
    </w:p>
  </w:footnote>
  <w:footnote w:id="236">
    <w:p w14:paraId="3DCECAE7"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Primer informe de Green, párr. 116 (CER-4).</w:t>
      </w:r>
    </w:p>
  </w:footnote>
  <w:footnote w:id="237">
    <w:p w14:paraId="414ACEAB"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118.</w:t>
      </w:r>
    </w:p>
  </w:footnote>
  <w:footnote w:id="238">
    <w:p w14:paraId="6DE74C49" w14:textId="77777777" w:rsidR="003468CF" w:rsidRPr="00EF5625" w:rsidRDefault="003468CF" w:rsidP="00AE5C72">
      <w:pPr>
        <w:pStyle w:val="FootnoteText"/>
        <w:tabs>
          <w:tab w:val="left" w:pos="284"/>
        </w:tabs>
        <w:spacing w:before="180"/>
        <w:rPr>
          <w:rFonts w:ascii="Times New Roman" w:hAnsi="Times New Roman"/>
          <w:sz w:val="18"/>
          <w:lang w:val="es-AR"/>
        </w:rPr>
      </w:pPr>
      <w:r w:rsidRPr="00EF5625">
        <w:rPr>
          <w:rStyle w:val="FootnoteReference"/>
          <w:rFonts w:ascii="Times New Roman" w:hAnsi="Times New Roman"/>
          <w:sz w:val="18"/>
        </w:rPr>
        <w:footnoteRef/>
      </w:r>
      <w:r>
        <w:rPr>
          <w:rStyle w:val="Footnote7pt"/>
          <w:rFonts w:ascii="Times New Roman" w:hAnsi="Times New Roman"/>
          <w:b w:val="0"/>
          <w:sz w:val="18"/>
          <w:lang w:val="es-AR"/>
        </w:rPr>
        <w:tab/>
      </w:r>
      <w:r w:rsidRPr="00EF5625">
        <w:rPr>
          <w:rStyle w:val="Footnote7pt"/>
          <w:rFonts w:ascii="Times New Roman" w:hAnsi="Times New Roman"/>
          <w:b w:val="0"/>
          <w:sz w:val="18"/>
          <w:lang w:val="es-AR"/>
        </w:rPr>
        <w:t>Primer informe de Green, párrs. 132-134 ( ECER-4). El Sr. Green afirma: "[e]n resumen, un discretionary beneficiary, no menos que cualquier otro beneficiario de un trust de las Islas Caimán, es en pleno sentido un beneficiario. Lo que simplemente ocurre es que el interés de dicho beneficiario en un momento determinado tiene sus características particulares propias, así como un beneficiario con un interés vitalicio tiene un interés con características propias de las que se puede decir que difieren de las de un beneficiario con un interés sobre el capital en expectativa" (id. en 78).</w:t>
      </w:r>
    </w:p>
  </w:footnote>
  <w:footnote w:id="239">
    <w:p w14:paraId="5D668860" w14:textId="77777777" w:rsidR="003468CF" w:rsidRPr="00EF5625" w:rsidRDefault="003468CF" w:rsidP="00AE5C72">
      <w:pPr>
        <w:pStyle w:val="Footnote30"/>
        <w:shd w:val="clear" w:color="auto" w:fill="auto"/>
        <w:tabs>
          <w:tab w:val="left" w:pos="284"/>
        </w:tabs>
        <w:spacing w:before="180" w:line="240" w:lineRule="auto"/>
        <w:rPr>
          <w:rFonts w:ascii="Times New Roman" w:hAnsi="Times New Roman"/>
          <w:b w:val="0"/>
          <w:sz w:val="18"/>
          <w:lang w:val="es-AR"/>
        </w:rPr>
      </w:pPr>
      <w:r w:rsidRPr="00EF5625">
        <w:rPr>
          <w:rStyle w:val="Footnote38pt"/>
          <w:rFonts w:ascii="Times New Roman" w:hAnsi="Times New Roman"/>
          <w:bCs/>
          <w:i/>
          <w:iCs/>
          <w:color w:val="000000"/>
          <w:sz w:val="18"/>
          <w:vertAlign w:val="superscript"/>
          <w:lang w:eastAsia="es-ES_tradnl"/>
        </w:rPr>
        <w:footnoteRef/>
      </w:r>
      <w:r w:rsidRPr="00EF5625">
        <w:rPr>
          <w:rStyle w:val="Footnote38pt"/>
          <w:rFonts w:ascii="Times New Roman" w:hAnsi="Times New Roman"/>
          <w:bCs/>
          <w:i/>
          <w:iCs/>
          <w:color w:val="000000"/>
          <w:sz w:val="18"/>
          <w:lang w:val="es-AR" w:eastAsia="es-ES_tradnl"/>
        </w:rPr>
        <w:tab/>
        <w:t>Escrito de Contestación (Jurisdicción), párr. 117.</w:t>
      </w:r>
    </w:p>
  </w:footnote>
  <w:footnote w:id="240">
    <w:p w14:paraId="418AAE74"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párrs. 11, 89; Tr. audiencia, día 15. 3668:21-3669:7, 3670:5-18.</w:t>
      </w:r>
    </w:p>
  </w:footnote>
  <w:footnote w:id="241">
    <w:p w14:paraId="00538158"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125.</w:t>
      </w:r>
    </w:p>
  </w:footnote>
  <w:footnote w:id="242">
    <w:p w14:paraId="1E95C159"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126.</w:t>
      </w:r>
    </w:p>
  </w:footnote>
  <w:footnote w:id="243">
    <w:p w14:paraId="72272588"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párrs. 141-144; Dúplica (Jurisdicción), párrs. 155-159.</w:t>
      </w:r>
    </w:p>
  </w:footnote>
  <w:footnote w:id="244">
    <w:p w14:paraId="62D7D574"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144.</w:t>
      </w:r>
    </w:p>
  </w:footnote>
  <w:footnote w:id="245">
    <w:p w14:paraId="0D24B782"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127; Dúplica (Jurisdicción), párrs. 145-153.</w:t>
      </w:r>
    </w:p>
  </w:footnote>
  <w:footnote w:id="246">
    <w:p w14:paraId="54A0AD13"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136.</w:t>
      </w:r>
    </w:p>
  </w:footnote>
  <w:footnote w:id="247">
    <w:p w14:paraId="331C8A3E"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párrs. 11, 127.</w:t>
      </w:r>
    </w:p>
  </w:footnote>
  <w:footnote w:id="248">
    <w:p w14:paraId="68F04C48"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Artículos de la CDI sobre Responsabilidad del Estado, art. 14, Comentario, párr. 12 (CLA-0152).</w:t>
      </w:r>
    </w:p>
  </w:footnote>
  <w:footnote w:id="249">
    <w:p w14:paraId="65AB453D"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Escrito de Contestación (Jurisdicción), párr. 134; </w:t>
      </w:r>
      <w:r w:rsidRPr="00EF5625">
        <w:rPr>
          <w:rStyle w:val="Footnote8pt1"/>
          <w:rFonts w:ascii="Times New Roman" w:hAnsi="Times New Roman"/>
          <w:bCs/>
          <w:color w:val="000000"/>
          <w:sz w:val="18"/>
          <w:lang w:val="es-AR" w:eastAsia="es-ES_tradnl"/>
        </w:rPr>
        <w:t>SGS Société Genérale de Surveillance S.A. c. República de Filipinas,</w:t>
      </w:r>
      <w:r w:rsidRPr="00EF5625">
        <w:rPr>
          <w:rStyle w:val="Footnote7pt1"/>
          <w:rFonts w:ascii="Times New Roman" w:hAnsi="Times New Roman"/>
          <w:bCs/>
          <w:color w:val="000000"/>
          <w:sz w:val="18"/>
          <w:lang w:val="es-AR" w:eastAsia="es-ES_tradnl"/>
        </w:rPr>
        <w:t xml:space="preserve"> Caso CIADI No. ARB/02/6, Decision del Tribunal sobre Objeciones a la Jurisdicción, 29 de enero de 2004 </w:t>
      </w:r>
      <w:r w:rsidRPr="00EF5625">
        <w:rPr>
          <w:rStyle w:val="Footnote7pt"/>
          <w:rFonts w:ascii="Times New Roman" w:hAnsi="Times New Roman"/>
          <w:bCs/>
          <w:color w:val="000000"/>
          <w:sz w:val="18"/>
          <w:lang w:val="es-AR" w:eastAsia="es-ES_tradnl"/>
        </w:rPr>
        <w:t xml:space="preserve">(CLA-0104); </w:t>
      </w:r>
      <w:r w:rsidRPr="00EF5625">
        <w:rPr>
          <w:rStyle w:val="Footnote8pt1"/>
          <w:rFonts w:ascii="Times New Roman" w:hAnsi="Times New Roman"/>
          <w:bCs/>
          <w:color w:val="000000"/>
          <w:sz w:val="18"/>
          <w:lang w:val="es-AR" w:eastAsia="es-ES_tradnl"/>
        </w:rPr>
        <w:t xml:space="preserve">Walter Bau c. Reino de Tailandia, </w:t>
      </w:r>
      <w:r w:rsidRPr="00EF5625">
        <w:rPr>
          <w:rStyle w:val="Footnote7pt1"/>
          <w:rFonts w:ascii="Times New Roman" w:hAnsi="Times New Roman"/>
          <w:bCs/>
          <w:color w:val="000000"/>
          <w:sz w:val="18"/>
          <w:lang w:val="es-AR" w:eastAsia="es-ES_tradnl"/>
        </w:rPr>
        <w:t xml:space="preserve">CNUDMI, Laudo, 1 de julio de 2009 </w:t>
      </w:r>
      <w:r w:rsidRPr="00EF5625">
        <w:rPr>
          <w:rStyle w:val="Footnote7pt"/>
          <w:rFonts w:ascii="Times New Roman" w:hAnsi="Times New Roman"/>
          <w:bCs/>
          <w:color w:val="000000"/>
          <w:sz w:val="18"/>
          <w:lang w:val="es-AR" w:eastAsia="es-ES_tradnl"/>
        </w:rPr>
        <w:t xml:space="preserve">(CLA-0026); </w:t>
      </w:r>
      <w:r w:rsidRPr="00EF5625">
        <w:rPr>
          <w:rStyle w:val="Footnote8pt1"/>
          <w:rFonts w:ascii="Times New Roman" w:hAnsi="Times New Roman"/>
          <w:bCs/>
          <w:color w:val="000000"/>
          <w:sz w:val="18"/>
          <w:lang w:val="es-AR" w:eastAsia="es-ES_tradnl"/>
        </w:rPr>
        <w:t>Pac Rim Cayman LLC c. República de El Salvador,</w:t>
      </w:r>
      <w:r w:rsidRPr="00EF5625">
        <w:rPr>
          <w:rStyle w:val="Footnote7pt1"/>
          <w:rFonts w:ascii="Times New Roman" w:hAnsi="Times New Roman"/>
          <w:bCs/>
          <w:color w:val="000000"/>
          <w:sz w:val="18"/>
          <w:lang w:val="es-AR" w:eastAsia="es-ES_tradnl"/>
        </w:rPr>
        <w:t xml:space="preserve"> Caso CIADI No. ARB/09/12, Decisión sobre las Objeciones Jurisdiccionales de la Demandada, 1 de junio de 2012, párrs. 1.46</w:t>
      </w:r>
      <w:r w:rsidRPr="00EF5625">
        <w:rPr>
          <w:rStyle w:val="Footnote7pt"/>
          <w:rFonts w:ascii="Times New Roman" w:hAnsi="Times New Roman"/>
          <w:bCs/>
          <w:color w:val="000000"/>
          <w:sz w:val="18"/>
          <w:lang w:val="es-AR" w:eastAsia="es-ES_tradnl"/>
        </w:rPr>
        <w:t xml:space="preserve">, </w:t>
      </w:r>
      <w:r w:rsidRPr="00EF5625">
        <w:rPr>
          <w:rStyle w:val="Footnote7pt1"/>
          <w:rFonts w:ascii="Times New Roman" w:hAnsi="Times New Roman"/>
          <w:bCs/>
          <w:color w:val="000000"/>
          <w:sz w:val="18"/>
          <w:lang w:val="es-AR" w:eastAsia="es-ES_tradnl"/>
        </w:rPr>
        <w:t>2.65</w:t>
      </w:r>
      <w:r w:rsidRPr="00EF5625">
        <w:rPr>
          <w:rStyle w:val="Footnote7pt"/>
          <w:rFonts w:ascii="Times New Roman" w:hAnsi="Times New Roman"/>
          <w:bCs/>
          <w:color w:val="000000"/>
          <w:sz w:val="18"/>
          <w:lang w:val="es-AR" w:eastAsia="es-ES_tradnl"/>
        </w:rPr>
        <w:t xml:space="preserve">, </w:t>
      </w:r>
      <w:r w:rsidRPr="00EF5625">
        <w:rPr>
          <w:rStyle w:val="Footnote7pt1"/>
          <w:rFonts w:ascii="Times New Roman" w:hAnsi="Times New Roman"/>
          <w:bCs/>
          <w:color w:val="000000"/>
          <w:sz w:val="18"/>
          <w:lang w:val="es-AR" w:eastAsia="es-ES_tradnl"/>
        </w:rPr>
        <w:t xml:space="preserve">2.94 </w:t>
      </w:r>
      <w:r w:rsidRPr="00EF5625">
        <w:rPr>
          <w:rStyle w:val="Footnote7pt"/>
          <w:rFonts w:ascii="Times New Roman" w:hAnsi="Times New Roman"/>
          <w:bCs/>
          <w:color w:val="000000"/>
          <w:sz w:val="18"/>
          <w:lang w:val="es-AR" w:eastAsia="es-ES_tradnl"/>
        </w:rPr>
        <w:t>(RLA-0105).</w:t>
      </w:r>
    </w:p>
  </w:footnote>
  <w:footnote w:id="250">
    <w:p w14:paraId="768C2241"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Artículos de la CDI sobre Responsabilidad del Estado, art. 14, Comentario, párr. 3 (CLA-0152). Los Demandantes también postulan que varios casos internacionales de derechos humanos aplican específicamente esta doctrina a leyes que trascienden la fecha en la que las demandantes obtuvieron la legitimación activa: </w:t>
      </w:r>
      <w:r w:rsidRPr="00EF5625">
        <w:rPr>
          <w:rStyle w:val="Bodytext210pt"/>
          <w:rFonts w:eastAsia="Calibri"/>
          <w:bCs/>
          <w:color w:val="000000"/>
          <w:sz w:val="18"/>
          <w:lang w:val="es-AR" w:eastAsia="es-ES_tradnl"/>
        </w:rPr>
        <w:t>Lovelace c. Canadá,</w:t>
      </w:r>
      <w:r w:rsidRPr="00EF5625">
        <w:rPr>
          <w:rStyle w:val="Footnote7pt"/>
          <w:rFonts w:ascii="Times New Roman" w:hAnsi="Times New Roman"/>
          <w:bCs/>
          <w:color w:val="000000"/>
          <w:sz w:val="18"/>
          <w:lang w:val="es-AR" w:eastAsia="es-ES_tradnl"/>
        </w:rPr>
        <w:t xml:space="preserve"> Comité de Derechos Humanos, Comunicación No. R.6/24*/, Consideraciones en virtud del Artículo 5(4) del Protocolo Opcional, 30 de julio de 1981 (CLA-0153); </w:t>
      </w:r>
      <w:r w:rsidRPr="00EF5625">
        <w:rPr>
          <w:rStyle w:val="Bodytext210pt"/>
          <w:rFonts w:eastAsia="Calibri"/>
          <w:bCs/>
          <w:color w:val="000000"/>
          <w:sz w:val="18"/>
          <w:lang w:val="es-AR" w:eastAsia="es-ES_tradnl"/>
        </w:rPr>
        <w:t>De Becker c. Bélgica,</w:t>
      </w:r>
      <w:r w:rsidRPr="00EF5625">
        <w:rPr>
          <w:rStyle w:val="Footnote7pt"/>
          <w:rFonts w:ascii="Times New Roman" w:hAnsi="Times New Roman"/>
          <w:bCs/>
          <w:color w:val="000000"/>
          <w:sz w:val="18"/>
          <w:lang w:val="es-AR" w:eastAsia="es-ES_tradnl"/>
        </w:rPr>
        <w:t xml:space="preserve"> Comisión Europea de Derechos Humanos, Decisión sobre Admisibilidad, 16 de diciembre de 1956 (CLA-0154); </w:t>
      </w:r>
      <w:r w:rsidRPr="00EF5625">
        <w:rPr>
          <w:rStyle w:val="Bodytext210pt"/>
          <w:rFonts w:eastAsia="Calibri"/>
          <w:bCs/>
          <w:color w:val="000000"/>
          <w:sz w:val="18"/>
          <w:lang w:val="es-AR" w:eastAsia="es-ES_tradnl"/>
        </w:rPr>
        <w:t>Dudgeon c. Reino Unido,</w:t>
      </w:r>
      <w:r w:rsidRPr="00EF5625">
        <w:rPr>
          <w:rStyle w:val="Footnote7pt"/>
          <w:rFonts w:ascii="Times New Roman" w:hAnsi="Times New Roman"/>
          <w:bCs/>
          <w:color w:val="000000"/>
          <w:sz w:val="18"/>
          <w:lang w:val="es-AR" w:eastAsia="es-ES_tradnl"/>
        </w:rPr>
        <w:t xml:space="preserve"> Tribunal Europeo de Derechos Humanos, Solicitud No. 7525/76, Sentencia, 22 de octubre de 1981 (CLA-0155).</w:t>
      </w:r>
    </w:p>
  </w:footnote>
  <w:footnote w:id="251">
    <w:p w14:paraId="790B036F"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Dúplica (Jurisdicción), párr. 139.</w:t>
      </w:r>
    </w:p>
  </w:footnote>
  <w:footnote w:id="252">
    <w:p w14:paraId="368FA1DA" w14:textId="77777777" w:rsidR="003468CF" w:rsidRPr="00A24A91" w:rsidRDefault="003468CF" w:rsidP="00AE5C72">
      <w:pPr>
        <w:pStyle w:val="Footnote0"/>
        <w:shd w:val="clear" w:color="auto" w:fill="auto"/>
        <w:tabs>
          <w:tab w:val="left" w:pos="284"/>
        </w:tabs>
        <w:spacing w:before="180" w:line="240" w:lineRule="auto"/>
        <w:jc w:val="both"/>
        <w:rPr>
          <w:rFonts w:ascii="Times New Roman" w:hAnsi="Times New Roman"/>
          <w:b w:val="0"/>
          <w:sz w:val="18"/>
          <w:lang w:val="en-IN"/>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Dúplica (Jurisdicción), párr. </w:t>
      </w:r>
      <w:r w:rsidRPr="00A24A91">
        <w:rPr>
          <w:rStyle w:val="Footnote7pt"/>
          <w:rFonts w:ascii="Times New Roman" w:hAnsi="Times New Roman"/>
          <w:bCs/>
          <w:color w:val="000000"/>
          <w:sz w:val="18"/>
          <w:lang w:val="en-IN" w:eastAsia="es-ES_tradnl"/>
        </w:rPr>
        <w:t xml:space="preserve">14; C. Schreuer, </w:t>
      </w:r>
      <w:r w:rsidRPr="00A24A91">
        <w:rPr>
          <w:rStyle w:val="Bodytext210pt"/>
          <w:rFonts w:eastAsia="Calibri"/>
          <w:bCs/>
          <w:color w:val="000000"/>
          <w:sz w:val="18"/>
          <w:lang w:val="en-IN" w:eastAsia="es-ES_tradnl"/>
        </w:rPr>
        <w:t>International Law Between Universalism and Fragmentation</w:t>
      </w:r>
      <w:r w:rsidRPr="00A24A91">
        <w:rPr>
          <w:rStyle w:val="Footnote7pt"/>
          <w:rFonts w:ascii="Times New Roman" w:hAnsi="Times New Roman"/>
          <w:bCs/>
          <w:color w:val="000000"/>
          <w:sz w:val="18"/>
          <w:lang w:val="en-IN" w:eastAsia="es-ES_tradnl"/>
        </w:rPr>
        <w:t xml:space="preserve"> (2008), Brill, capítulo 46 (CLA-0264).</w:t>
      </w:r>
    </w:p>
  </w:footnote>
  <w:footnote w:id="253">
    <w:p w14:paraId="3F40EAA8"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Dúplica (Jurisdicción), párr. 144.</w:t>
      </w:r>
    </w:p>
  </w:footnote>
  <w:footnote w:id="254">
    <w:p w14:paraId="38770D4B"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Dúplica (Jurisdicción), párr. 131.</w:t>
      </w:r>
    </w:p>
  </w:footnote>
  <w:footnote w:id="255">
    <w:p w14:paraId="4A45BD0E"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Dúplica (Jurisdicción), párr. 132; Segunda declaración de Agarwal, párr. 64 (CWS-9).</w:t>
      </w:r>
    </w:p>
  </w:footnote>
  <w:footnote w:id="256">
    <w:p w14:paraId="70728E83"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Dúplica (Jurisdicción), párr. 134 (énfasis omitido).</w:t>
      </w:r>
    </w:p>
  </w:footnote>
  <w:footnote w:id="257">
    <w:p w14:paraId="75D21BEA"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Dúplica (Jurisdicción), párr. 135.</w:t>
      </w:r>
    </w:p>
  </w:footnote>
  <w:footnote w:id="258">
    <w:p w14:paraId="1885E89B"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 50.</w:t>
      </w:r>
    </w:p>
  </w:footnote>
  <w:footnote w:id="259">
    <w:p w14:paraId="64393AE1" w14:textId="77777777" w:rsidR="003468CF" w:rsidRPr="00587406" w:rsidRDefault="003468CF" w:rsidP="00587406">
      <w:pPr>
        <w:pStyle w:val="FootnoteText"/>
        <w:tabs>
          <w:tab w:val="left" w:pos="284"/>
        </w:tabs>
        <w:spacing w:before="180"/>
        <w:rPr>
          <w:lang w:val="es-AR"/>
        </w:rPr>
      </w:pPr>
      <w:r w:rsidRPr="00587406">
        <w:rPr>
          <w:rStyle w:val="Footnote7pt"/>
          <w:rFonts w:ascii="Times New Roman" w:eastAsia="Calibri" w:hAnsi="Times New Roman"/>
          <w:b w:val="0"/>
          <w:sz w:val="18"/>
          <w:vertAlign w:val="superscript"/>
          <w:lang w:eastAsia="es-ES_tradnl"/>
        </w:rPr>
        <w:footnoteRef/>
      </w:r>
      <w:r>
        <w:rPr>
          <w:rStyle w:val="Footnote7pt"/>
          <w:rFonts w:ascii="Times New Roman" w:hAnsi="Times New Roman"/>
          <w:b w:val="0"/>
          <w:bCs w:val="0"/>
          <w:sz w:val="18"/>
          <w:lang w:val="es-AR" w:eastAsia="es-ES_tradnl"/>
        </w:rPr>
        <w:tab/>
      </w:r>
      <w:r w:rsidRPr="00587406">
        <w:rPr>
          <w:rStyle w:val="Footnote7pt"/>
          <w:rFonts w:ascii="Times New Roman" w:hAnsi="Times New Roman"/>
          <w:b w:val="0"/>
          <w:bCs w:val="0"/>
          <w:sz w:val="18"/>
          <w:lang w:val="es-AR" w:eastAsia="es-ES_tradnl"/>
        </w:rPr>
        <w:t>Tr. audiencia, día 15, 3640:12-19 (interpretado del inglés).</w:t>
      </w:r>
    </w:p>
  </w:footnote>
  <w:footnote w:id="260">
    <w:p w14:paraId="0294A8E7" w14:textId="77777777" w:rsidR="003468CF" w:rsidRPr="0061492A" w:rsidRDefault="003468CF" w:rsidP="0061492A">
      <w:pPr>
        <w:pStyle w:val="FootnoteText"/>
        <w:tabs>
          <w:tab w:val="left" w:pos="284"/>
        </w:tabs>
        <w:spacing w:before="180"/>
        <w:rPr>
          <w:b/>
          <w:lang w:val="es-AR"/>
        </w:rPr>
      </w:pPr>
      <w:r w:rsidRPr="0061492A">
        <w:rPr>
          <w:rStyle w:val="Footnote7pt"/>
          <w:rFonts w:ascii="Times New Roman" w:eastAsia="Calibri" w:hAnsi="Times New Roman"/>
          <w:b w:val="0"/>
          <w:sz w:val="18"/>
          <w:vertAlign w:val="superscript"/>
          <w:lang w:eastAsia="es-ES_tradnl"/>
        </w:rPr>
        <w:footnoteRef/>
      </w:r>
      <w:r w:rsidRPr="0061492A">
        <w:rPr>
          <w:b/>
          <w:lang w:val="es-AR"/>
        </w:rPr>
        <w:tab/>
      </w:r>
      <w:r w:rsidRPr="0061492A">
        <w:rPr>
          <w:rStyle w:val="Footnote7pt"/>
          <w:rFonts w:ascii="Times New Roman" w:hAnsi="Times New Roman"/>
          <w:b w:val="0"/>
          <w:bCs w:val="0"/>
          <w:sz w:val="18"/>
          <w:lang w:val="es-AR" w:eastAsia="es-ES_tradnl"/>
        </w:rPr>
        <w:t>Tr. audiencia, día 15, 3640:20-3641:9.</w:t>
      </w:r>
    </w:p>
  </w:footnote>
  <w:footnote w:id="261">
    <w:p w14:paraId="1C204D42" w14:textId="77777777" w:rsidR="003468CF" w:rsidRPr="0098262F" w:rsidRDefault="003468CF" w:rsidP="0098262F">
      <w:pPr>
        <w:pStyle w:val="FootnoteText"/>
        <w:tabs>
          <w:tab w:val="left" w:pos="284"/>
        </w:tabs>
        <w:spacing w:before="180"/>
        <w:rPr>
          <w:rFonts w:ascii="Times New Roman" w:hAnsi="Times New Roman"/>
          <w:b/>
          <w:sz w:val="18"/>
          <w:lang w:val="es-AR"/>
        </w:rPr>
      </w:pPr>
      <w:r w:rsidRPr="0098262F">
        <w:rPr>
          <w:rStyle w:val="FootnoteReference"/>
          <w:rFonts w:ascii="Times New Roman" w:hAnsi="Times New Roman"/>
          <w:sz w:val="18"/>
        </w:rPr>
        <w:footnoteRef/>
      </w:r>
      <w:r>
        <w:rPr>
          <w:rFonts w:ascii="Times New Roman" w:hAnsi="Times New Roman"/>
          <w:b/>
          <w:sz w:val="18"/>
          <w:lang w:val="es-AR"/>
        </w:rPr>
        <w:tab/>
      </w:r>
      <w:r w:rsidRPr="0098262F">
        <w:rPr>
          <w:rStyle w:val="Footnote7pt"/>
          <w:rFonts w:ascii="Times New Roman" w:hAnsi="Times New Roman"/>
          <w:b w:val="0"/>
          <w:bCs w:val="0"/>
          <w:sz w:val="18"/>
          <w:lang w:val="es-AR" w:eastAsia="es-ES_tradnl"/>
        </w:rPr>
        <w:t>Réplica (Jurisdicción), párr. 54.</w:t>
      </w:r>
    </w:p>
  </w:footnote>
  <w:footnote w:id="262">
    <w:p w14:paraId="1E409E52" w14:textId="77777777" w:rsidR="003468CF" w:rsidRPr="002B2E55" w:rsidRDefault="003468CF" w:rsidP="002B2E55">
      <w:pPr>
        <w:pStyle w:val="FootnoteText"/>
        <w:tabs>
          <w:tab w:val="left" w:pos="284"/>
        </w:tabs>
        <w:spacing w:before="180"/>
        <w:rPr>
          <w:b/>
          <w:lang w:val="es-AR"/>
        </w:rPr>
      </w:pPr>
      <w:r w:rsidRPr="002B2E55">
        <w:rPr>
          <w:rStyle w:val="FootnoteReference"/>
          <w:rFonts w:ascii="Times New Roman" w:hAnsi="Times New Roman"/>
          <w:sz w:val="18"/>
        </w:rPr>
        <w:footnoteRef/>
      </w:r>
      <w:r w:rsidRPr="002B2E55">
        <w:rPr>
          <w:b/>
          <w:lang w:val="es-AR"/>
        </w:rPr>
        <w:tab/>
      </w:r>
      <w:r w:rsidRPr="002B2E55">
        <w:rPr>
          <w:rStyle w:val="Footnote7pt"/>
          <w:rFonts w:ascii="Times New Roman" w:hAnsi="Times New Roman"/>
          <w:b w:val="0"/>
          <w:bCs w:val="0"/>
          <w:sz w:val="18"/>
          <w:lang w:val="es-AR" w:eastAsia="es-ES_tradnl"/>
        </w:rPr>
        <w:t>Réplica (Jurisdicción), párr. 54.</w:t>
      </w:r>
    </w:p>
  </w:footnote>
  <w:footnote w:id="263">
    <w:p w14:paraId="300662E4" w14:textId="77777777" w:rsidR="003468CF" w:rsidRPr="00E3628F" w:rsidRDefault="003468CF" w:rsidP="00E3628F">
      <w:pPr>
        <w:pStyle w:val="FootnoteText"/>
        <w:tabs>
          <w:tab w:val="left" w:pos="284"/>
        </w:tabs>
        <w:rPr>
          <w:rFonts w:ascii="Times New Roman" w:hAnsi="Times New Roman"/>
          <w:b/>
          <w:sz w:val="18"/>
          <w:lang w:val="es-AR"/>
        </w:rPr>
      </w:pPr>
      <w:r w:rsidRPr="00E3628F">
        <w:rPr>
          <w:rStyle w:val="FootnoteReference"/>
          <w:rFonts w:ascii="Times New Roman" w:hAnsi="Times New Roman"/>
          <w:sz w:val="18"/>
        </w:rPr>
        <w:footnoteRef/>
      </w:r>
      <w:r>
        <w:rPr>
          <w:rStyle w:val="Footnote7pt"/>
          <w:rFonts w:ascii="Times New Roman" w:hAnsi="Times New Roman"/>
          <w:b w:val="0"/>
          <w:bCs w:val="0"/>
          <w:sz w:val="18"/>
          <w:lang w:val="es-AR" w:eastAsia="es-ES_tradnl"/>
        </w:rPr>
        <w:tab/>
      </w:r>
      <w:r w:rsidRPr="00E3628F">
        <w:rPr>
          <w:rStyle w:val="Footnote7pt"/>
          <w:rFonts w:ascii="Times New Roman" w:hAnsi="Times New Roman"/>
          <w:b w:val="0"/>
          <w:bCs w:val="0"/>
          <w:sz w:val="18"/>
          <w:lang w:val="es-AR" w:eastAsia="es-ES_tradnl"/>
        </w:rPr>
        <w:t>Este artículo es idéntico al artículo 35.1 del Reglamento de Arbitraje de la CNUDMI de 2010.</w:t>
      </w:r>
    </w:p>
  </w:footnote>
  <w:footnote w:id="264">
    <w:p w14:paraId="000C9A07"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Footnote8pt1"/>
          <w:rFonts w:ascii="Times New Roman" w:hAnsi="Times New Roman"/>
          <w:bCs/>
          <w:color w:val="000000"/>
          <w:sz w:val="18"/>
          <w:lang w:val="es-AR" w:eastAsia="es-ES_tradnl"/>
        </w:rPr>
        <w:t>Venezuela Holdings, B. V etal. c. República Bolivariana de Venezuela,</w:t>
      </w:r>
      <w:r w:rsidRPr="00EF5625">
        <w:rPr>
          <w:rStyle w:val="Footnote7pt1"/>
          <w:rFonts w:ascii="Times New Roman" w:hAnsi="Times New Roman"/>
          <w:bCs/>
          <w:color w:val="000000"/>
          <w:sz w:val="18"/>
          <w:lang w:val="es-AR" w:eastAsia="es-ES_tradnl"/>
        </w:rPr>
        <w:t xml:space="preserve"> Caso CIADI No. ARB/07/27, Decisión sobre Anulación, 9 de marzo de 2017, párr. 168 </w:t>
      </w:r>
      <w:r w:rsidRPr="00EF5625">
        <w:rPr>
          <w:rStyle w:val="Footnote7pt"/>
          <w:rFonts w:ascii="Times New Roman" w:hAnsi="Times New Roman"/>
          <w:bCs/>
          <w:color w:val="000000"/>
          <w:sz w:val="18"/>
          <w:lang w:val="es-AR" w:eastAsia="es-ES_tradnl"/>
        </w:rPr>
        <w:t>(RLA-0152).</w:t>
      </w:r>
    </w:p>
  </w:footnote>
  <w:footnote w:id="265">
    <w:p w14:paraId="7E7D9FCF"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Footnote8pt1"/>
          <w:rFonts w:ascii="Times New Roman" w:hAnsi="Times New Roman"/>
          <w:bCs/>
          <w:color w:val="000000"/>
          <w:sz w:val="18"/>
          <w:lang w:val="es-AR" w:eastAsia="es-ES_tradnl"/>
        </w:rPr>
        <w:t>Id.</w:t>
      </w:r>
      <w:r w:rsidRPr="00EF5625">
        <w:rPr>
          <w:rStyle w:val="Footnote7pt1"/>
          <w:rFonts w:ascii="Times New Roman" w:hAnsi="Times New Roman"/>
          <w:bCs/>
          <w:color w:val="000000"/>
          <w:sz w:val="18"/>
          <w:lang w:val="es-AR" w:eastAsia="es-ES_tradnl"/>
        </w:rPr>
        <w:t xml:space="preserve"> en 170 et </w:t>
      </w:r>
      <w:r w:rsidRPr="00EF5625">
        <w:rPr>
          <w:rStyle w:val="Footnote8pt1"/>
          <w:rFonts w:ascii="Times New Roman" w:hAnsi="Times New Roman"/>
          <w:bCs/>
          <w:color w:val="000000"/>
          <w:sz w:val="18"/>
          <w:lang w:val="es-AR" w:eastAsia="es-ES_tradnl"/>
        </w:rPr>
        <w:t>seq.</w:t>
      </w:r>
    </w:p>
  </w:footnote>
  <w:footnote w:id="266">
    <w:p w14:paraId="3468BAEB"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Footnote8pt1"/>
          <w:rFonts w:ascii="Times New Roman" w:hAnsi="Times New Roman"/>
          <w:bCs/>
          <w:color w:val="000000"/>
          <w:sz w:val="18"/>
          <w:lang w:val="es-AR" w:eastAsia="es-ES_tradnl"/>
        </w:rPr>
        <w:t>Accession Mezzanine Capital L.P. y Danubius Kereskedoház Vagyonkezelo Zrt. c. Hungría,</w:t>
      </w:r>
      <w:r w:rsidRPr="00EF5625">
        <w:rPr>
          <w:rStyle w:val="Footnote7pt1"/>
          <w:rFonts w:ascii="Times New Roman" w:hAnsi="Times New Roman"/>
          <w:bCs/>
          <w:color w:val="000000"/>
          <w:sz w:val="18"/>
          <w:lang w:val="es-AR" w:eastAsia="es-ES_tradnl"/>
        </w:rPr>
        <w:t xml:space="preserve"> Caso CIADI No. ARB/12/3, Laudo, 17 de abril de 2015, párr. 75 </w:t>
      </w:r>
      <w:r w:rsidRPr="00EF5625">
        <w:rPr>
          <w:rStyle w:val="Footnote7pt"/>
          <w:rFonts w:ascii="Times New Roman" w:hAnsi="Times New Roman"/>
          <w:bCs/>
          <w:color w:val="000000"/>
          <w:sz w:val="18"/>
          <w:lang w:val="es-AR" w:eastAsia="es-ES_tradnl"/>
        </w:rPr>
        <w:t>(RLA-0220) (traducción del Tribunal).</w:t>
      </w:r>
    </w:p>
  </w:footnote>
  <w:footnote w:id="267">
    <w:p w14:paraId="30D78E15"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Footnote8pt1"/>
          <w:rFonts w:ascii="Times New Roman" w:hAnsi="Times New Roman"/>
          <w:bCs/>
          <w:color w:val="000000"/>
          <w:sz w:val="18"/>
          <w:lang w:val="es-AR" w:eastAsia="es-ES_tradnl"/>
        </w:rPr>
        <w:t>William Nagel c. República Checa,</w:t>
      </w:r>
      <w:r w:rsidRPr="00EF5625">
        <w:rPr>
          <w:rStyle w:val="Footnote7pt1"/>
          <w:rFonts w:ascii="Times New Roman" w:hAnsi="Times New Roman"/>
          <w:bCs/>
          <w:color w:val="000000"/>
          <w:sz w:val="18"/>
          <w:lang w:val="es-AR" w:eastAsia="es-ES_tradnl"/>
        </w:rPr>
        <w:t xml:space="preserve"> Caso CCE No. 049/2002, Laudo Final, 9 de septiembre de 2003, párr. 316 </w:t>
      </w:r>
      <w:r w:rsidRPr="00EF5625">
        <w:rPr>
          <w:rStyle w:val="Footnote7pt"/>
          <w:rFonts w:ascii="Times New Roman" w:hAnsi="Times New Roman"/>
          <w:bCs/>
          <w:color w:val="000000"/>
          <w:sz w:val="18"/>
          <w:lang w:val="es-AR" w:eastAsia="es-ES_tradnl"/>
        </w:rPr>
        <w:t xml:space="preserve">(RLA-0178) (traducción del Tribunal). El Tribunal es consciente del hecho de que el tratado de inversión en esa instancia incluía una referencia al derecho nacional en la definición de inversión, pero ello no fue parte del razonamiento que llevó al tribunal a concluir que el derecho nacional era pertinente. Conforme se desprende de la cita anterior, los términos "inversión" y "bien" no se podían "interpretar en forma independiente de los derechos que podrían existir en el marco del derecho checo". En el caso </w:t>
      </w:r>
      <w:r w:rsidRPr="00EF5625">
        <w:rPr>
          <w:rStyle w:val="Bodytext210pt"/>
          <w:rFonts w:eastAsia="Calibri"/>
          <w:bCs/>
          <w:color w:val="000000"/>
          <w:sz w:val="18"/>
          <w:lang w:val="es-AR" w:eastAsia="es-ES_tradnl"/>
        </w:rPr>
        <w:t>Tidewater</w:t>
      </w:r>
      <w:r w:rsidRPr="00EF5625">
        <w:rPr>
          <w:rStyle w:val="Footnote7pt"/>
          <w:rFonts w:ascii="Times New Roman" w:hAnsi="Times New Roman"/>
          <w:bCs/>
          <w:color w:val="000000"/>
          <w:sz w:val="18"/>
          <w:lang w:val="es-AR" w:eastAsia="es-ES_tradnl"/>
        </w:rPr>
        <w:t xml:space="preserve"> la jurisdicción del tribunal se basó en la legislación interna de Venezuela, pero pertinente para la cuestión general de las respectivas funciones del derecho interno e internacional. El tribunal en el caso </w:t>
      </w:r>
      <w:r w:rsidRPr="00EF5625">
        <w:rPr>
          <w:rStyle w:val="Bodytext210pt"/>
          <w:rFonts w:eastAsia="Calibri"/>
          <w:bCs/>
          <w:color w:val="000000"/>
          <w:sz w:val="18"/>
          <w:lang w:val="es-AR" w:eastAsia="es-ES_tradnl"/>
        </w:rPr>
        <w:t>Tidewaterno</w:t>
      </w:r>
      <w:r w:rsidRPr="00EF5625">
        <w:rPr>
          <w:rStyle w:val="Footnote7pt"/>
          <w:rFonts w:ascii="Times New Roman" w:hAnsi="Times New Roman"/>
          <w:bCs/>
          <w:color w:val="000000"/>
          <w:sz w:val="18"/>
          <w:lang w:val="es-AR" w:eastAsia="es-ES_tradnl"/>
        </w:rPr>
        <w:t xml:space="preserve"> consideró que "haya que dejar de lado el derecho nacional por completo, pero considera lógico que un acto jurídico arraigado en el orden jurídico nacional y cuyos efectos se extienden al orden jurídico internacional debe interpretarse en relación con ambos órdenes jurídicos" </w:t>
      </w:r>
      <w:r w:rsidRPr="00EF5625">
        <w:rPr>
          <w:rStyle w:val="Bodytext210pt"/>
          <w:rFonts w:eastAsia="Calibri"/>
          <w:bCs/>
          <w:color w:val="000000"/>
          <w:sz w:val="18"/>
          <w:lang w:val="es-AR" w:eastAsia="es-ES_tradnl"/>
        </w:rPr>
        <w:t>(</w:t>
      </w:r>
      <w:r w:rsidRPr="00EF5625">
        <w:rPr>
          <w:rStyle w:val="Footnote8pt1"/>
          <w:rFonts w:ascii="Times New Roman" w:hAnsi="Times New Roman"/>
          <w:bCs/>
          <w:color w:val="000000"/>
          <w:sz w:val="18"/>
          <w:lang w:val="es-AR" w:eastAsia="es-ES_tradnl"/>
        </w:rPr>
        <w:t>TidewaterInc. etal. c. República Bolivariana de Venezuela,</w:t>
      </w:r>
      <w:r w:rsidRPr="00EF5625">
        <w:rPr>
          <w:rStyle w:val="Footnote7pt1"/>
          <w:rFonts w:ascii="Times New Roman" w:hAnsi="Times New Roman"/>
          <w:bCs/>
          <w:color w:val="000000"/>
          <w:sz w:val="18"/>
          <w:lang w:val="es-AR" w:eastAsia="es-ES_tradnl"/>
        </w:rPr>
        <w:t xml:space="preserve"> Caso CIADI No. ARB/10/5, Decisión sobre Jurisdicción, 8 de febrero de 2013, párr. 86 </w:t>
      </w:r>
      <w:r w:rsidRPr="00EF5625">
        <w:rPr>
          <w:rStyle w:val="Footnote7pt"/>
          <w:rFonts w:ascii="Times New Roman" w:hAnsi="Times New Roman"/>
          <w:bCs/>
          <w:color w:val="000000"/>
          <w:sz w:val="18"/>
          <w:lang w:val="es-AR" w:eastAsia="es-ES_tradnl"/>
        </w:rPr>
        <w:t>(RLA-0211)).</w:t>
      </w:r>
    </w:p>
  </w:footnote>
  <w:footnote w:id="268">
    <w:p w14:paraId="587284C2"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Footnote8pt1"/>
          <w:rFonts w:ascii="Times New Roman" w:hAnsi="Times New Roman"/>
          <w:bCs/>
          <w:color w:val="000000"/>
          <w:sz w:val="18"/>
          <w:lang w:val="es-AR" w:eastAsia="es-ES_tradnl"/>
        </w:rPr>
        <w:t>Id.</w:t>
      </w:r>
      <w:r w:rsidRPr="00EF5625">
        <w:rPr>
          <w:rStyle w:val="Footnote7pt1"/>
          <w:rFonts w:ascii="Times New Roman" w:hAnsi="Times New Roman"/>
          <w:bCs/>
          <w:color w:val="000000"/>
          <w:sz w:val="18"/>
          <w:lang w:val="es-AR" w:eastAsia="es-ES_tradnl"/>
        </w:rPr>
        <w:t xml:space="preserve"> en 300.</w:t>
      </w:r>
    </w:p>
  </w:footnote>
  <w:footnote w:id="269">
    <w:p w14:paraId="3C5BEB1B"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Footnote8pt1"/>
          <w:rFonts w:ascii="Times New Roman" w:hAnsi="Times New Roman"/>
          <w:bCs/>
          <w:color w:val="000000"/>
          <w:sz w:val="18"/>
          <w:lang w:val="es-AR" w:eastAsia="es-ES_tradnl"/>
        </w:rPr>
        <w:t>Id.</w:t>
      </w:r>
      <w:r w:rsidRPr="00EF5625">
        <w:rPr>
          <w:rStyle w:val="Footnote7pt1"/>
          <w:rFonts w:ascii="Times New Roman" w:hAnsi="Times New Roman"/>
          <w:bCs/>
          <w:color w:val="000000"/>
          <w:sz w:val="18"/>
          <w:lang w:val="es-AR" w:eastAsia="es-ES_tradnl"/>
        </w:rPr>
        <w:t xml:space="preserve"> en 302.</w:t>
      </w:r>
    </w:p>
  </w:footnote>
  <w:footnote w:id="270">
    <w:p w14:paraId="2D57427A"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R. Dolzer, C. Schreuer, </w:t>
      </w:r>
      <w:r w:rsidRPr="00EF5625">
        <w:rPr>
          <w:rStyle w:val="Bodytext210pt"/>
          <w:rFonts w:eastAsia="Calibri"/>
          <w:bCs/>
          <w:color w:val="000000"/>
          <w:sz w:val="18"/>
          <w:lang w:val="es-AR" w:eastAsia="es-ES_tradnl"/>
        </w:rPr>
        <w:t>Principies of International Investment Law</w:t>
      </w:r>
      <w:r w:rsidRPr="00EF5625">
        <w:rPr>
          <w:rStyle w:val="Footnote7pt"/>
          <w:rFonts w:ascii="Times New Roman" w:hAnsi="Times New Roman"/>
          <w:bCs/>
          <w:color w:val="000000"/>
          <w:sz w:val="18"/>
          <w:lang w:val="es-AR" w:eastAsia="es-ES_tradnl"/>
        </w:rPr>
        <w:t xml:space="preserve"> (2a ed. 2012), Oxford University Press, pág. 293 (CLA-0122) (traducción del Tribunal).</w:t>
      </w:r>
    </w:p>
  </w:footnote>
  <w:footnote w:id="271">
    <w:p w14:paraId="079E09BB"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n-IN"/>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"El Profesor Reinisch tiene razón cuando dice que el derecho interno puede servir como cuestión de hecho en asuntos de titularidad. Pero para establecer si la titularidad constituye un prerrequisito según la definición de 'inversión’ hay que basarse en la redacción del tratado de inversión específico; a diferencia de definiciones similares proporcionadas en otros tratados, el TBI entre el Reino Unido y Uruguay claramente no requiere esto. Las referencias recabadas por el Profesor Reinisch versan sobre la existencia o validez de un reclamo de derechos en virtud de la legislación interna, que es un tema completamente distinto. Esta distinción es importante. Si bien el derecho interno puede ser relevante para determinar si un derecho económico reclamado es válido, no es un factor que incida en la decisión de si el [interés] económico reclamado se considera una ’inversión’ en virtud de un TBI. En el caso que nos ocupa, esto significa que el derecho interno únicamente regula la validez del contrato de </w:t>
      </w:r>
      <w:r w:rsidRPr="00EF5625">
        <w:rPr>
          <w:rStyle w:val="Bodytext210pt"/>
          <w:rFonts w:eastAsia="Calibri"/>
          <w:bCs/>
          <w:color w:val="000000"/>
          <w:sz w:val="18"/>
          <w:lang w:val="es-AR" w:eastAsia="es-ES_tradnl"/>
        </w:rPr>
        <w:t>Trust</w:t>
      </w:r>
      <w:r w:rsidRPr="00EF5625">
        <w:rPr>
          <w:rStyle w:val="Footnote7pt"/>
          <w:rFonts w:ascii="Times New Roman" w:hAnsi="Times New Roman"/>
          <w:bCs/>
          <w:color w:val="000000"/>
          <w:sz w:val="18"/>
          <w:lang w:val="es-AR" w:eastAsia="es-ES_tradnl"/>
        </w:rPr>
        <w:t xml:space="preserve"> y no, como sugiere el Profesor Reinisch, si el [interés] de las Demandantes en virtud del contrato de </w:t>
      </w:r>
      <w:r w:rsidRPr="00EF5625">
        <w:rPr>
          <w:rStyle w:val="Bodytext210pt"/>
          <w:rFonts w:eastAsia="Calibri"/>
          <w:bCs/>
          <w:color w:val="000000"/>
          <w:sz w:val="18"/>
          <w:lang w:val="es-AR" w:eastAsia="es-ES_tradnl"/>
        </w:rPr>
        <w:t>Trust</w:t>
      </w:r>
      <w:r w:rsidRPr="00EF5625">
        <w:rPr>
          <w:rStyle w:val="Footnote7pt"/>
          <w:rFonts w:ascii="Times New Roman" w:hAnsi="Times New Roman"/>
          <w:bCs/>
          <w:color w:val="000000"/>
          <w:sz w:val="18"/>
          <w:lang w:val="es-AR" w:eastAsia="es-ES_tradnl"/>
        </w:rPr>
        <w:t xml:space="preserve"> constituye una ’inversión’ con arreglo al TBI". Segundo informe pericial de W. Michael Reisman, 3 de enero de 2020, párrs. 24-25 (CER-13) ("Segundo informe de Reisman"); Informe pericial de August Reinisch, 13 de noviembre de 2019, párrs. </w:t>
      </w:r>
      <w:r w:rsidRPr="00EF5625">
        <w:rPr>
          <w:rStyle w:val="Footnote7pt"/>
          <w:rFonts w:ascii="Times New Roman" w:hAnsi="Times New Roman"/>
          <w:bCs/>
          <w:color w:val="000000"/>
          <w:sz w:val="18"/>
          <w:lang w:eastAsia="es-ES_tradnl"/>
        </w:rPr>
        <w:t>97-104 (RER-17).</w:t>
      </w:r>
    </w:p>
  </w:footnote>
  <w:footnote w:id="272">
    <w:p w14:paraId="54E80261" w14:textId="77777777" w:rsidR="003468CF" w:rsidRPr="00EF5625" w:rsidRDefault="003468CF" w:rsidP="00AE5C72">
      <w:pPr>
        <w:pStyle w:val="Footnote30"/>
        <w:shd w:val="clear" w:color="auto" w:fill="auto"/>
        <w:tabs>
          <w:tab w:val="left" w:pos="284"/>
        </w:tabs>
        <w:spacing w:before="180" w:line="240" w:lineRule="auto"/>
        <w:rPr>
          <w:rFonts w:ascii="Times New Roman" w:hAnsi="Times New Roman"/>
          <w:b w:val="0"/>
          <w:sz w:val="18"/>
          <w:lang w:val="en-IN"/>
        </w:rPr>
      </w:pPr>
      <w:r w:rsidRPr="00EF5625">
        <w:rPr>
          <w:rStyle w:val="Bodytext316pt"/>
          <w:rFonts w:ascii="Times New Roman" w:eastAsia="Calibri" w:hAnsi="Times New Roman"/>
          <w:b w:val="0"/>
          <w:bCs w:val="0"/>
          <w:i/>
          <w:iCs/>
          <w:smallCaps w:val="0"/>
          <w:color w:val="000000"/>
          <w:sz w:val="18"/>
          <w:vertAlign w:val="superscript"/>
          <w:lang w:eastAsia="es-ES_tradnl"/>
        </w:rPr>
        <w:footnoteRef/>
      </w:r>
      <w:r w:rsidRPr="00EF5625">
        <w:rPr>
          <w:rStyle w:val="Bodytext316pt"/>
          <w:rFonts w:ascii="Times New Roman" w:eastAsia="Calibri" w:hAnsi="Times New Roman"/>
          <w:b w:val="0"/>
          <w:bCs w:val="0"/>
          <w:i/>
          <w:iCs/>
          <w:smallCaps w:val="0"/>
          <w:color w:val="000000"/>
          <w:sz w:val="18"/>
          <w:lang w:eastAsia="es-ES_tradnl"/>
        </w:rPr>
        <w:tab/>
      </w:r>
      <w:r w:rsidRPr="00EF5625">
        <w:rPr>
          <w:rStyle w:val="Footnote38pt"/>
          <w:rFonts w:ascii="Times New Roman" w:hAnsi="Times New Roman"/>
          <w:bCs/>
          <w:i/>
          <w:iCs/>
          <w:color w:val="000000"/>
          <w:sz w:val="18"/>
          <w:lang w:eastAsia="es-ES_tradnl"/>
        </w:rPr>
        <w:t>"asset", Cambridge Advanced Learner's Dictionary &amp; Thesaurus</w:t>
      </w:r>
      <w:r w:rsidRPr="00EF5625">
        <w:rPr>
          <w:rStyle w:val="Bodytext316pt"/>
          <w:rFonts w:ascii="Times New Roman" w:eastAsia="Calibri" w:hAnsi="Times New Roman"/>
          <w:b w:val="0"/>
          <w:bCs w:val="0"/>
          <w:i/>
          <w:iCs/>
          <w:smallCaps w:val="0"/>
          <w:color w:val="000000"/>
          <w:sz w:val="18"/>
          <w:lang w:eastAsia="es-ES_tradnl"/>
        </w:rPr>
        <w:t xml:space="preserve"> (traducción del Tribunal).</w:t>
      </w:r>
    </w:p>
  </w:footnote>
  <w:footnote w:id="273">
    <w:p w14:paraId="63B02CF6" w14:textId="77777777" w:rsidR="003468CF" w:rsidRPr="00EF5625" w:rsidRDefault="003468CF" w:rsidP="00AE5C72">
      <w:pPr>
        <w:pStyle w:val="Footnote30"/>
        <w:shd w:val="clear" w:color="auto" w:fill="auto"/>
        <w:tabs>
          <w:tab w:val="left" w:pos="284"/>
        </w:tabs>
        <w:spacing w:before="180" w:line="240" w:lineRule="auto"/>
        <w:rPr>
          <w:rFonts w:ascii="Times New Roman" w:hAnsi="Times New Roman"/>
          <w:b w:val="0"/>
          <w:sz w:val="18"/>
          <w:lang w:val="en-IN"/>
        </w:rPr>
      </w:pPr>
      <w:r w:rsidRPr="00EF5625">
        <w:rPr>
          <w:rStyle w:val="Bodytext316pt"/>
          <w:rFonts w:ascii="Times New Roman" w:eastAsia="Calibri" w:hAnsi="Times New Roman"/>
          <w:b w:val="0"/>
          <w:bCs w:val="0"/>
          <w:i/>
          <w:iCs/>
          <w:smallCaps w:val="0"/>
          <w:color w:val="000000"/>
          <w:sz w:val="18"/>
          <w:vertAlign w:val="superscript"/>
          <w:lang w:eastAsia="es-ES_tradnl"/>
        </w:rPr>
        <w:footnoteRef/>
      </w:r>
      <w:r w:rsidRPr="00EF5625">
        <w:rPr>
          <w:rStyle w:val="Bodytext316pt"/>
          <w:rFonts w:ascii="Times New Roman" w:eastAsia="Calibri" w:hAnsi="Times New Roman"/>
          <w:b w:val="0"/>
          <w:bCs w:val="0"/>
          <w:i/>
          <w:iCs/>
          <w:smallCaps w:val="0"/>
          <w:color w:val="000000"/>
          <w:sz w:val="18"/>
          <w:lang w:eastAsia="es-ES_tradnl"/>
        </w:rPr>
        <w:tab/>
      </w:r>
      <w:r w:rsidRPr="00EF5625">
        <w:rPr>
          <w:rStyle w:val="Footnote38pt"/>
          <w:rFonts w:ascii="Times New Roman" w:hAnsi="Times New Roman"/>
          <w:bCs/>
          <w:i/>
          <w:iCs/>
          <w:color w:val="000000"/>
          <w:sz w:val="18"/>
          <w:lang w:eastAsia="es-ES_tradnl"/>
        </w:rPr>
        <w:t>"asset", Cambridge Business English Dictionary</w:t>
      </w:r>
      <w:r w:rsidRPr="00EF5625">
        <w:rPr>
          <w:rStyle w:val="Bodytext316pt"/>
          <w:rFonts w:ascii="Times New Roman" w:eastAsia="Calibri" w:hAnsi="Times New Roman"/>
          <w:b w:val="0"/>
          <w:bCs w:val="0"/>
          <w:i/>
          <w:iCs/>
          <w:smallCaps w:val="0"/>
          <w:color w:val="000000"/>
          <w:sz w:val="18"/>
          <w:lang w:eastAsia="es-ES_tradnl"/>
        </w:rPr>
        <w:t xml:space="preserve"> (traducción del Tribunal).</w:t>
      </w:r>
    </w:p>
  </w:footnote>
  <w:footnote w:id="274">
    <w:p w14:paraId="78B9BE84"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8645D8">
        <w:rPr>
          <w:rStyle w:val="Footnote7pt"/>
          <w:rFonts w:ascii="Times New Roman" w:hAnsi="Times New Roman"/>
          <w:bCs/>
          <w:i/>
          <w:color w:val="000000"/>
          <w:sz w:val="18"/>
          <w:lang w:val="es-AR" w:eastAsia="es-ES_tradnl"/>
        </w:rPr>
        <w:t>"of",</w:t>
      </w:r>
      <w:r w:rsidRPr="00EF5625">
        <w:rPr>
          <w:rStyle w:val="Footnote7pt"/>
          <w:rFonts w:ascii="Times New Roman" w:hAnsi="Times New Roman"/>
          <w:bCs/>
          <w:color w:val="000000"/>
          <w:sz w:val="18"/>
          <w:lang w:val="es-AR" w:eastAsia="es-ES_tradnl"/>
        </w:rPr>
        <w:t xml:space="preserve"> </w:t>
      </w:r>
      <w:r w:rsidRPr="00EF5625">
        <w:rPr>
          <w:rStyle w:val="Bodytext210pt"/>
          <w:rFonts w:eastAsia="Calibri"/>
          <w:bCs/>
          <w:color w:val="000000"/>
          <w:sz w:val="18"/>
          <w:lang w:val="es-AR" w:eastAsia="es-ES_tradnl"/>
        </w:rPr>
        <w:t>Merriam- Webster Dictionary</w:t>
      </w:r>
      <w:r w:rsidRPr="00EF5625">
        <w:rPr>
          <w:rStyle w:val="Footnote7pt"/>
          <w:rFonts w:ascii="Times New Roman" w:hAnsi="Times New Roman"/>
          <w:bCs/>
          <w:color w:val="000000"/>
          <w:sz w:val="18"/>
          <w:lang w:val="es-AR" w:eastAsia="es-ES_tradnl"/>
        </w:rPr>
        <w:t xml:space="preserve"> (traducción del Tribunal).</w:t>
      </w:r>
    </w:p>
  </w:footnote>
  <w:footnote w:id="275">
    <w:p w14:paraId="08CED667"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r>
      <w:r w:rsidRPr="00EF5625">
        <w:rPr>
          <w:rStyle w:val="Bodytext210pt"/>
          <w:rFonts w:eastAsia="Calibri"/>
          <w:bCs/>
          <w:color w:val="000000"/>
          <w:sz w:val="18"/>
          <w:lang w:val="es-AR" w:eastAsia="es-ES_tradnl"/>
        </w:rPr>
        <w:t>Véase</w:t>
      </w:r>
      <w:r w:rsidRPr="00EF5625">
        <w:rPr>
          <w:rStyle w:val="Footnote7pt"/>
          <w:rFonts w:ascii="Times New Roman" w:hAnsi="Times New Roman"/>
          <w:bCs/>
          <w:color w:val="000000"/>
          <w:sz w:val="18"/>
          <w:lang w:val="es-AR" w:eastAsia="es-ES_tradnl"/>
        </w:rPr>
        <w:t xml:space="preserve"> TBI, arts. 2(2), 3(1)-3(2), 4, 5(1), 8(1) (C-0001) (énfasis del Tribunal).</w:t>
      </w:r>
    </w:p>
  </w:footnote>
  <w:footnote w:id="276">
    <w:p w14:paraId="0203D80E"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De acuerdo con el Diccionario de la Real Academia Española, "de" "[d]enota posesión o pertenencia".</w:t>
      </w:r>
    </w:p>
  </w:footnote>
  <w:footnote w:id="277">
    <w:p w14:paraId="6884521F" w14:textId="77777777" w:rsidR="003468CF" w:rsidRPr="00EF5625" w:rsidRDefault="003468CF" w:rsidP="00AE5C72">
      <w:pPr>
        <w:pStyle w:val="FootnoteText"/>
        <w:tabs>
          <w:tab w:val="left" w:pos="284"/>
        </w:tabs>
        <w:spacing w:before="180"/>
        <w:rPr>
          <w:rFonts w:ascii="Times New Roman" w:hAnsi="Times New Roman"/>
          <w:sz w:val="18"/>
          <w:lang w:val="es-AR"/>
        </w:rPr>
      </w:pPr>
      <w:r w:rsidRPr="00EF5625">
        <w:rPr>
          <w:rStyle w:val="FootnoteReference"/>
          <w:rFonts w:ascii="Times New Roman" w:hAnsi="Times New Roman"/>
          <w:sz w:val="18"/>
        </w:rPr>
        <w:footnoteRef/>
      </w:r>
      <w:r>
        <w:rPr>
          <w:rStyle w:val="Footnote7pt"/>
          <w:rFonts w:ascii="Times New Roman" w:hAnsi="Times New Roman"/>
          <w:b w:val="0"/>
          <w:sz w:val="18"/>
          <w:lang w:val="es-AR"/>
        </w:rPr>
        <w:tab/>
      </w:r>
      <w:r w:rsidRPr="00EF5625">
        <w:rPr>
          <w:rStyle w:val="Footnote7pt"/>
          <w:rFonts w:ascii="Times New Roman" w:hAnsi="Times New Roman"/>
          <w:b w:val="0"/>
          <w:sz w:val="18"/>
          <w:lang w:val="es-AR"/>
        </w:rPr>
        <w:t>Notificación de Arbitraje, párrs. 25, 27-28.</w:t>
      </w:r>
    </w:p>
  </w:footnote>
  <w:footnote w:id="278">
    <w:p w14:paraId="374F6294"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Escrito de Contestación (Jurisdicción), párrs. 4, 11, 87, 91, 97-98, 101-102; Réplica (Jurisdicción), párrs. 14, 55.</w:t>
      </w:r>
    </w:p>
  </w:footnote>
  <w:footnote w:id="279">
    <w:p w14:paraId="7B85A725"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Réplica (Jurisdicción), párr. 17 (énfasis en el original).</w:t>
      </w:r>
    </w:p>
  </w:footnote>
  <w:footnote w:id="280">
    <w:p w14:paraId="516A3F69"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Primer informe de Green, párr. 73 (CER-4) (énfasis en el original).</w:t>
      </w:r>
    </w:p>
  </w:footnote>
  <w:footnote w:id="281">
    <w:p w14:paraId="740F7A7B" w14:textId="77777777" w:rsidR="003468CF" w:rsidRPr="00EF5625" w:rsidRDefault="003468CF" w:rsidP="00AE5C72">
      <w:pPr>
        <w:pStyle w:val="Footnote0"/>
        <w:shd w:val="clear" w:color="auto" w:fill="auto"/>
        <w:tabs>
          <w:tab w:val="left" w:pos="284"/>
        </w:tabs>
        <w:spacing w:before="180" w:line="240" w:lineRule="auto"/>
        <w:jc w:val="both"/>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 xml:space="preserve">Segundo informe pericial de Rachael Reynolds, 12 de noviembre de 2019, párr. 15 (RER-9) ("Segundo informe de Reynolds") (traducción del Tribunal); L. Tucker, N. Le Poidevin, J. Brightwell, </w:t>
      </w:r>
      <w:r w:rsidRPr="00EF5625">
        <w:rPr>
          <w:rStyle w:val="Bodytext210pt"/>
          <w:rFonts w:eastAsia="Calibri"/>
          <w:bCs/>
          <w:color w:val="000000"/>
          <w:sz w:val="18"/>
          <w:lang w:val="es-AR" w:eastAsia="es-ES_tradnl"/>
        </w:rPr>
        <w:t>Lewin on Trusts,</w:t>
      </w:r>
      <w:r w:rsidRPr="00EF5625">
        <w:rPr>
          <w:rStyle w:val="Footnote7pt"/>
          <w:rFonts w:ascii="Times New Roman" w:hAnsi="Times New Roman"/>
          <w:bCs/>
          <w:color w:val="000000"/>
          <w:sz w:val="18"/>
          <w:lang w:val="es-AR" w:eastAsia="es-ES_tradnl"/>
        </w:rPr>
        <w:t xml:space="preserve"> Thomson Reuters, párr. 1-061 (RR-022).</w:t>
      </w:r>
    </w:p>
  </w:footnote>
  <w:footnote w:id="282">
    <w:p w14:paraId="10DAAAA3" w14:textId="77777777" w:rsidR="003468CF" w:rsidRPr="00EF5625" w:rsidRDefault="003468CF" w:rsidP="009625EF">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vertAlign w:val="superscript"/>
          <w:lang w:eastAsia="es-ES_tradnl"/>
        </w:rPr>
        <w:footnoteRef/>
      </w:r>
      <w:r w:rsidRPr="00EF5625">
        <w:rPr>
          <w:rStyle w:val="Footnote7pt"/>
          <w:rFonts w:ascii="Times New Roman" w:hAnsi="Times New Roman"/>
          <w:bCs/>
          <w:color w:val="000000"/>
          <w:sz w:val="18"/>
          <w:lang w:val="es-AR" w:eastAsia="es-ES_tradnl"/>
        </w:rPr>
        <w:tab/>
        <w:t>Primer informe de Green, párr. 163 (CER-4).</w:t>
      </w:r>
    </w:p>
  </w:footnote>
  <w:footnote w:id="283">
    <w:p w14:paraId="2FD0DCB3" w14:textId="77777777" w:rsidR="003468CF" w:rsidRPr="00296E13" w:rsidRDefault="003468CF" w:rsidP="009625EF">
      <w:pPr>
        <w:pStyle w:val="FootnoteText"/>
        <w:tabs>
          <w:tab w:val="left" w:pos="284"/>
        </w:tabs>
        <w:spacing w:before="180"/>
        <w:rPr>
          <w:rFonts w:ascii="Times New Roman" w:hAnsi="Times New Roman"/>
          <w:sz w:val="18"/>
          <w:lang w:val="es-AR"/>
        </w:rPr>
      </w:pPr>
      <w:r w:rsidRPr="00296E13">
        <w:rPr>
          <w:rStyle w:val="FootnoteReference"/>
          <w:rFonts w:ascii="Times New Roman" w:hAnsi="Times New Roman"/>
          <w:sz w:val="18"/>
        </w:rPr>
        <w:footnoteRef/>
      </w:r>
      <w:r w:rsidRPr="00296E13">
        <w:rPr>
          <w:rStyle w:val="Bodytext210pt"/>
          <w:rFonts w:eastAsia="Calibri"/>
          <w:b w:val="0"/>
          <w:bCs w:val="0"/>
          <w:sz w:val="18"/>
          <w:lang w:val="es-AR" w:eastAsia="es-ES_tradnl"/>
        </w:rPr>
        <w:tab/>
        <w:t>Id.</w:t>
      </w:r>
      <w:r w:rsidRPr="00296E13">
        <w:rPr>
          <w:rStyle w:val="Footnote7pt"/>
          <w:rFonts w:ascii="Times New Roman" w:hAnsi="Times New Roman"/>
          <w:b w:val="0"/>
          <w:bCs w:val="0"/>
          <w:sz w:val="18"/>
          <w:lang w:val="es-AR" w:eastAsia="es-ES_tradnl"/>
        </w:rPr>
        <w:t xml:space="preserve"> en 164 (traducción del Tribunal).</w:t>
      </w:r>
    </w:p>
  </w:footnote>
  <w:footnote w:id="284">
    <w:p w14:paraId="7AAF7C51" w14:textId="77777777" w:rsidR="003468CF" w:rsidRPr="00296E13" w:rsidRDefault="003468CF" w:rsidP="009625EF">
      <w:pPr>
        <w:pStyle w:val="FootnoteText"/>
        <w:tabs>
          <w:tab w:val="left" w:pos="284"/>
        </w:tabs>
        <w:spacing w:before="180"/>
        <w:rPr>
          <w:rFonts w:ascii="Times New Roman" w:hAnsi="Times New Roman"/>
          <w:sz w:val="18"/>
          <w:lang w:val="es-AR"/>
        </w:rPr>
      </w:pPr>
      <w:r w:rsidRPr="00296E13">
        <w:rPr>
          <w:rStyle w:val="FootnoteReference"/>
          <w:rFonts w:ascii="Times New Roman" w:hAnsi="Times New Roman"/>
          <w:sz w:val="18"/>
        </w:rPr>
        <w:footnoteRef/>
      </w:r>
      <w:r w:rsidRPr="00296E13">
        <w:rPr>
          <w:rFonts w:ascii="Times New Roman" w:hAnsi="Times New Roman"/>
          <w:sz w:val="18"/>
          <w:lang w:val="es-AR"/>
        </w:rPr>
        <w:tab/>
      </w:r>
      <w:r w:rsidRPr="00296E13">
        <w:rPr>
          <w:rStyle w:val="Footnote7pt"/>
          <w:rFonts w:ascii="Times New Roman" w:hAnsi="Times New Roman"/>
          <w:b w:val="0"/>
          <w:bCs w:val="0"/>
          <w:sz w:val="18"/>
          <w:lang w:val="es-AR" w:eastAsia="es-ES_tradnl"/>
        </w:rPr>
        <w:t>Segundo informe de Reynolds, párr. 99(a) (RER-9) (traducción del Tribunal y énfasis en el original).</w:t>
      </w:r>
    </w:p>
  </w:footnote>
  <w:footnote w:id="285">
    <w:p w14:paraId="39411F98" w14:textId="77777777" w:rsidR="003468CF" w:rsidRPr="00296E13" w:rsidRDefault="003468CF" w:rsidP="00231902">
      <w:pPr>
        <w:pStyle w:val="FootnoteText"/>
        <w:tabs>
          <w:tab w:val="left" w:pos="284"/>
        </w:tabs>
        <w:rPr>
          <w:rFonts w:ascii="Times New Roman" w:hAnsi="Times New Roman"/>
          <w:b/>
          <w:sz w:val="18"/>
          <w:lang w:val="es-AR"/>
        </w:rPr>
      </w:pPr>
      <w:r w:rsidRPr="00296E13">
        <w:rPr>
          <w:rStyle w:val="FootnoteReference"/>
          <w:rFonts w:ascii="Times New Roman" w:hAnsi="Times New Roman"/>
          <w:sz w:val="18"/>
        </w:rPr>
        <w:footnoteRef/>
      </w:r>
      <w:r w:rsidRPr="00296E13">
        <w:rPr>
          <w:rStyle w:val="Bodytext210pt"/>
          <w:rFonts w:eastAsia="Calibri"/>
          <w:b w:val="0"/>
          <w:bCs w:val="0"/>
          <w:sz w:val="18"/>
          <w:lang w:val="es-AR" w:eastAsia="es-ES_tradnl"/>
        </w:rPr>
        <w:tab/>
        <w:t>Id.</w:t>
      </w:r>
      <w:r w:rsidRPr="00296E13">
        <w:rPr>
          <w:rStyle w:val="Footnote7pt"/>
          <w:rFonts w:ascii="Times New Roman" w:hAnsi="Times New Roman"/>
          <w:b w:val="0"/>
          <w:bCs w:val="0"/>
          <w:sz w:val="18"/>
          <w:lang w:val="es-AR" w:eastAsia="es-ES_tradnl"/>
        </w:rPr>
        <w:t xml:space="preserve"> en 91 (traducción del Tribunal y énfasis en el original).</w:t>
      </w:r>
    </w:p>
  </w:footnote>
  <w:footnote w:id="286">
    <w:p w14:paraId="1265E0EA" w14:textId="77777777" w:rsidR="003468CF" w:rsidRPr="00EF5625" w:rsidRDefault="003468CF" w:rsidP="00AE5C72">
      <w:pPr>
        <w:pStyle w:val="Footnote0"/>
        <w:shd w:val="clear" w:color="auto" w:fill="auto"/>
        <w:tabs>
          <w:tab w:val="left" w:pos="284"/>
        </w:tabs>
        <w:spacing w:before="180" w:line="240" w:lineRule="auto"/>
        <w:rPr>
          <w:rFonts w:ascii="Times New Roman" w:hAnsi="Times New Roman"/>
          <w:b w:val="0"/>
          <w:sz w:val="18"/>
          <w:lang w:val="es-AR"/>
        </w:rPr>
      </w:pPr>
      <w:r w:rsidRPr="00EF5625">
        <w:rPr>
          <w:rStyle w:val="Footnote7pt"/>
          <w:rFonts w:ascii="Times New Roman" w:hAnsi="Times New Roman"/>
          <w:bCs/>
          <w:color w:val="000000"/>
          <w:sz w:val="18"/>
          <w:lang w:val="es-AR" w:eastAsia="es-ES_tradnl"/>
        </w:rPr>
        <w:t>Primer informe de Green, párr. 169 (CER-4) (traducción del Tribunal y énfasis en el original).</w:t>
      </w:r>
    </w:p>
  </w:footnote>
  <w:footnote w:id="287">
    <w:p w14:paraId="69722A8D" w14:textId="77777777" w:rsidR="003468CF" w:rsidRPr="006E54F0" w:rsidRDefault="003468CF" w:rsidP="00A70018">
      <w:pPr>
        <w:pStyle w:val="FootnoteText"/>
        <w:tabs>
          <w:tab w:val="left" w:pos="284"/>
        </w:tabs>
        <w:spacing w:before="180"/>
        <w:rPr>
          <w:rFonts w:ascii="Times New Roman" w:hAnsi="Times New Roman"/>
          <w:sz w:val="18"/>
          <w:lang w:val="es-AR"/>
        </w:rPr>
      </w:pPr>
      <w:r w:rsidRPr="00386554">
        <w:rPr>
          <w:rStyle w:val="FootnoteReference"/>
          <w:rFonts w:ascii="Times New Roman" w:hAnsi="Times New Roman"/>
          <w:sz w:val="18"/>
        </w:rPr>
        <w:footnoteRef/>
      </w:r>
      <w:r>
        <w:rPr>
          <w:lang w:val="es-AR"/>
        </w:rPr>
        <w:tab/>
      </w:r>
      <w:r w:rsidRPr="006E54F0">
        <w:rPr>
          <w:rStyle w:val="Bodytext210pt"/>
          <w:rFonts w:eastAsia="Calibri"/>
          <w:b w:val="0"/>
          <w:bCs w:val="0"/>
          <w:sz w:val="18"/>
          <w:lang w:val="es-AR" w:eastAsia="es-ES_tradnl"/>
        </w:rPr>
        <w:t>Id.</w:t>
      </w:r>
      <w:r w:rsidRPr="006E54F0">
        <w:rPr>
          <w:rStyle w:val="Footnote7pt"/>
          <w:rFonts w:ascii="Times New Roman" w:hAnsi="Times New Roman"/>
          <w:b w:val="0"/>
          <w:bCs w:val="0"/>
          <w:sz w:val="18"/>
          <w:lang w:val="es-AR" w:eastAsia="es-ES_tradnl"/>
        </w:rPr>
        <w:t xml:space="preserve"> en 78 (traducción del Tribunal y énfasis en el original).</w:t>
      </w:r>
    </w:p>
  </w:footnote>
  <w:footnote w:id="288">
    <w:p w14:paraId="5BD7503E" w14:textId="77777777" w:rsidR="003468CF" w:rsidRPr="006E54F0" w:rsidRDefault="003468CF" w:rsidP="00A70018">
      <w:pPr>
        <w:pStyle w:val="FootnoteText"/>
        <w:tabs>
          <w:tab w:val="left" w:pos="284"/>
        </w:tabs>
        <w:rPr>
          <w:rFonts w:ascii="Times New Roman" w:hAnsi="Times New Roman"/>
          <w:sz w:val="18"/>
          <w:lang w:val="es-AR"/>
        </w:rPr>
      </w:pPr>
      <w:r w:rsidRPr="006E54F0">
        <w:rPr>
          <w:rStyle w:val="FootnoteReference"/>
          <w:rFonts w:ascii="Times New Roman" w:hAnsi="Times New Roman"/>
          <w:sz w:val="18"/>
        </w:rPr>
        <w:footnoteRef/>
      </w:r>
      <w:r w:rsidRPr="006E54F0">
        <w:rPr>
          <w:rFonts w:ascii="Times New Roman" w:hAnsi="Times New Roman"/>
          <w:sz w:val="18"/>
          <w:lang w:val="es-AR"/>
        </w:rPr>
        <w:tab/>
      </w:r>
      <w:r w:rsidRPr="006E54F0">
        <w:rPr>
          <w:rStyle w:val="Footnote7pt"/>
          <w:rFonts w:ascii="Times New Roman" w:hAnsi="Times New Roman"/>
          <w:b w:val="0"/>
          <w:bCs w:val="0"/>
          <w:sz w:val="18"/>
          <w:lang w:val="es-AR" w:eastAsia="es-ES_tradnl"/>
        </w:rPr>
        <w:t>Segundo informe de Green, párrs. 28-29 (CER-14).</w:t>
      </w:r>
    </w:p>
  </w:footnote>
  <w:footnote w:id="289">
    <w:p w14:paraId="6E2E3F60" w14:textId="77777777" w:rsidR="003468CF" w:rsidRPr="006E54F0" w:rsidRDefault="003468CF" w:rsidP="0066401B">
      <w:pPr>
        <w:pStyle w:val="FootnoteText"/>
        <w:tabs>
          <w:tab w:val="left" w:pos="284"/>
        </w:tabs>
        <w:spacing w:before="180"/>
        <w:rPr>
          <w:rFonts w:ascii="Times New Roman" w:hAnsi="Times New Roman"/>
          <w:sz w:val="18"/>
          <w:lang w:val="es-AR"/>
        </w:rPr>
      </w:pPr>
      <w:r w:rsidRPr="006E54F0">
        <w:rPr>
          <w:rStyle w:val="FootnoteReference"/>
          <w:rFonts w:ascii="Times New Roman" w:hAnsi="Times New Roman"/>
          <w:sz w:val="18"/>
        </w:rPr>
        <w:footnoteRef/>
      </w:r>
      <w:r w:rsidRPr="006E54F0">
        <w:rPr>
          <w:rStyle w:val="Footnote7pt"/>
          <w:rFonts w:ascii="Times New Roman" w:hAnsi="Times New Roman"/>
          <w:b w:val="0"/>
          <w:bCs w:val="0"/>
          <w:sz w:val="18"/>
          <w:lang w:val="es-AR" w:eastAsia="es-ES_tradnl"/>
        </w:rPr>
        <w:tab/>
        <w:t>Segundo informe de Reynolds, párr. 105(f) (RER-9).</w:t>
      </w:r>
    </w:p>
  </w:footnote>
  <w:footnote w:id="290">
    <w:p w14:paraId="7F423271" w14:textId="77777777" w:rsidR="003468CF" w:rsidRPr="006E54F0" w:rsidRDefault="003468CF" w:rsidP="0066401B">
      <w:pPr>
        <w:pStyle w:val="FootnoteText"/>
        <w:tabs>
          <w:tab w:val="left" w:pos="284"/>
        </w:tabs>
        <w:spacing w:before="180"/>
        <w:rPr>
          <w:rFonts w:ascii="Times New Roman" w:hAnsi="Times New Roman"/>
          <w:sz w:val="18"/>
          <w:lang w:val="es-AR"/>
        </w:rPr>
      </w:pPr>
      <w:r w:rsidRPr="006E54F0">
        <w:rPr>
          <w:rStyle w:val="FootnoteReference"/>
          <w:rFonts w:ascii="Times New Roman" w:hAnsi="Times New Roman"/>
          <w:sz w:val="18"/>
        </w:rPr>
        <w:footnoteRef/>
      </w:r>
      <w:r w:rsidRPr="006E54F0">
        <w:rPr>
          <w:rFonts w:ascii="Times New Roman" w:hAnsi="Times New Roman"/>
          <w:sz w:val="18"/>
          <w:lang w:val="es-AR"/>
        </w:rPr>
        <w:tab/>
      </w:r>
      <w:r w:rsidRPr="006E54F0">
        <w:rPr>
          <w:rStyle w:val="Footnote7pt"/>
          <w:rFonts w:ascii="Times New Roman" w:hAnsi="Times New Roman"/>
          <w:b w:val="0"/>
          <w:bCs w:val="0"/>
          <w:sz w:val="18"/>
          <w:lang w:val="es-AR" w:eastAsia="es-ES_tradnl"/>
        </w:rPr>
        <w:t>Primer informe de Green, párr. 79 (CER-4) (traducción del Tribunal).</w:t>
      </w:r>
    </w:p>
  </w:footnote>
  <w:footnote w:id="291">
    <w:p w14:paraId="299620E6" w14:textId="77777777" w:rsidR="003468CF" w:rsidRPr="006E54F0" w:rsidRDefault="003468CF" w:rsidP="0066401B">
      <w:pPr>
        <w:pStyle w:val="FootnoteText"/>
        <w:tabs>
          <w:tab w:val="left" w:pos="284"/>
        </w:tabs>
        <w:spacing w:before="180"/>
        <w:rPr>
          <w:rFonts w:ascii="Times New Roman" w:hAnsi="Times New Roman"/>
          <w:b/>
          <w:sz w:val="18"/>
          <w:lang w:val="es-AR"/>
        </w:rPr>
      </w:pPr>
      <w:r w:rsidRPr="006E54F0">
        <w:rPr>
          <w:rStyle w:val="FootnoteReference"/>
          <w:rFonts w:ascii="Times New Roman" w:hAnsi="Times New Roman"/>
          <w:sz w:val="18"/>
        </w:rPr>
        <w:footnoteRef/>
      </w:r>
      <w:r w:rsidRPr="006E54F0">
        <w:rPr>
          <w:rFonts w:ascii="Times New Roman" w:hAnsi="Times New Roman"/>
          <w:sz w:val="18"/>
          <w:lang w:val="es-AR"/>
        </w:rPr>
        <w:tab/>
      </w:r>
      <w:r w:rsidRPr="006E54F0">
        <w:rPr>
          <w:rStyle w:val="Bodytext210pt"/>
          <w:rFonts w:eastAsia="Calibri"/>
          <w:b w:val="0"/>
          <w:bCs w:val="0"/>
          <w:sz w:val="18"/>
          <w:lang w:val="es-AR" w:eastAsia="es-ES_tradnl"/>
        </w:rPr>
        <w:t>Id.</w:t>
      </w:r>
      <w:r w:rsidRPr="006E54F0">
        <w:rPr>
          <w:rStyle w:val="Footnote7pt"/>
          <w:rFonts w:ascii="Times New Roman" w:hAnsi="Times New Roman"/>
          <w:b w:val="0"/>
          <w:bCs w:val="0"/>
          <w:sz w:val="18"/>
          <w:lang w:val="es-AR" w:eastAsia="es-ES_tradnl"/>
        </w:rPr>
        <w:t xml:space="preserve"> en 51 (traducción del Tribunal).</w:t>
      </w:r>
    </w:p>
  </w:footnote>
  <w:footnote w:id="292">
    <w:p w14:paraId="7F78D72A" w14:textId="77777777" w:rsidR="003468CF" w:rsidRPr="006E54F0" w:rsidRDefault="003468CF" w:rsidP="0066401B">
      <w:pPr>
        <w:pStyle w:val="FootnoteText"/>
        <w:tabs>
          <w:tab w:val="left" w:pos="284"/>
        </w:tabs>
        <w:spacing w:before="180"/>
        <w:rPr>
          <w:rFonts w:ascii="Times New Roman" w:hAnsi="Times New Roman"/>
          <w:sz w:val="18"/>
          <w:lang w:val="es-AR"/>
        </w:rPr>
      </w:pPr>
      <w:r w:rsidRPr="006E54F0">
        <w:rPr>
          <w:rStyle w:val="FootnoteReference"/>
          <w:rFonts w:ascii="Times New Roman" w:hAnsi="Times New Roman"/>
          <w:sz w:val="18"/>
        </w:rPr>
        <w:footnoteRef/>
      </w:r>
      <w:r w:rsidRPr="006E54F0">
        <w:rPr>
          <w:rStyle w:val="Bodytext210pt"/>
          <w:rFonts w:eastAsia="Calibri"/>
          <w:b w:val="0"/>
          <w:bCs w:val="0"/>
          <w:sz w:val="18"/>
          <w:lang w:val="es-AR" w:eastAsia="es-ES_tradnl"/>
        </w:rPr>
        <w:tab/>
        <w:t>Id.</w:t>
      </w:r>
      <w:r w:rsidRPr="006E54F0">
        <w:rPr>
          <w:rStyle w:val="Footnote7pt"/>
          <w:rFonts w:ascii="Times New Roman" w:hAnsi="Times New Roman"/>
          <w:b w:val="0"/>
          <w:bCs w:val="0"/>
          <w:sz w:val="18"/>
          <w:lang w:val="es-AR" w:eastAsia="es-ES_tradnl"/>
        </w:rPr>
        <w:t xml:space="preserve"> en 90 (énfasis en el original).</w:t>
      </w:r>
    </w:p>
  </w:footnote>
  <w:footnote w:id="293">
    <w:p w14:paraId="59E36EA0"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Bodytext210pt"/>
          <w:rFonts w:eastAsia="Calibri"/>
          <w:bCs/>
          <w:color w:val="000000"/>
          <w:sz w:val="18"/>
          <w:lang w:val="es-AR" w:eastAsia="es-ES_tradnl"/>
        </w:rPr>
        <w:t>Véase supra</w:t>
      </w:r>
      <w:r w:rsidRPr="006E54F0">
        <w:rPr>
          <w:rStyle w:val="Footnote7pt"/>
          <w:rFonts w:ascii="Times New Roman" w:hAnsi="Times New Roman"/>
          <w:bCs/>
          <w:color w:val="000000"/>
          <w:sz w:val="18"/>
          <w:lang w:val="es-AR" w:eastAsia="es-ES_tradnl"/>
        </w:rPr>
        <w:t xml:space="preserve"> en párr. 112 una descripción de las relaciones familiares y su función como protectores del </w:t>
      </w:r>
      <w:r w:rsidRPr="006E54F0">
        <w:rPr>
          <w:rStyle w:val="Bodytext210pt"/>
          <w:rFonts w:eastAsia="Calibri"/>
          <w:bCs/>
          <w:color w:val="000000"/>
          <w:sz w:val="18"/>
          <w:lang w:val="es-AR" w:eastAsia="es-ES_tradnl"/>
        </w:rPr>
        <w:t>Trust o</w:t>
      </w:r>
      <w:r w:rsidRPr="006E54F0">
        <w:rPr>
          <w:rStyle w:val="Footnote7pt"/>
          <w:rFonts w:ascii="Times New Roman" w:hAnsi="Times New Roman"/>
          <w:bCs/>
          <w:color w:val="000000"/>
          <w:sz w:val="18"/>
          <w:lang w:val="es-AR" w:eastAsia="es-ES_tradnl"/>
        </w:rPr>
        <w:t xml:space="preserve"> directores en el </w:t>
      </w:r>
      <w:r w:rsidRPr="006E54F0">
        <w:rPr>
          <w:rStyle w:val="Bodytext210pt"/>
          <w:rFonts w:eastAsia="Calibri"/>
          <w:bCs/>
          <w:color w:val="000000"/>
          <w:sz w:val="18"/>
          <w:lang w:val="es-AR" w:eastAsia="es-ES_tradnl"/>
        </w:rPr>
        <w:t xml:space="preserve">Trust o </w:t>
      </w:r>
      <w:r w:rsidRPr="006E54F0">
        <w:rPr>
          <w:rStyle w:val="Footnote7pt"/>
          <w:rFonts w:ascii="Times New Roman" w:hAnsi="Times New Roman"/>
          <w:bCs/>
          <w:color w:val="000000"/>
          <w:sz w:val="18"/>
          <w:lang w:val="es-AR" w:eastAsia="es-ES_tradnl"/>
        </w:rPr>
        <w:t xml:space="preserve">en el </w:t>
      </w:r>
      <w:r w:rsidRPr="006E54F0">
        <w:rPr>
          <w:rStyle w:val="Footnote7pt"/>
          <w:rFonts w:ascii="Times New Roman" w:hAnsi="Times New Roman"/>
          <w:bCs/>
          <w:i/>
          <w:color w:val="000000"/>
          <w:sz w:val="18"/>
          <w:lang w:val="es-AR" w:eastAsia="es-ES_tradnl"/>
        </w:rPr>
        <w:t>Trust</w:t>
      </w:r>
      <w:r w:rsidRPr="006E54F0">
        <w:rPr>
          <w:rStyle w:val="Footnote7pt"/>
          <w:rFonts w:ascii="Times New Roman" w:hAnsi="Times New Roman"/>
          <w:bCs/>
          <w:color w:val="000000"/>
          <w:sz w:val="18"/>
          <w:lang w:val="es-AR" w:eastAsia="es-ES_tradnl"/>
        </w:rPr>
        <w:t xml:space="preserve"> Sunder Devi, que era el propietario de Miari, el </w:t>
      </w:r>
      <w:r w:rsidRPr="006E54F0">
        <w:rPr>
          <w:rStyle w:val="Bodytext210pt"/>
          <w:rFonts w:eastAsia="Calibri"/>
          <w:bCs/>
          <w:color w:val="000000"/>
          <w:sz w:val="18"/>
          <w:lang w:val="es-AR" w:eastAsia="es-ES_tradnl"/>
        </w:rPr>
        <w:t>Trustee</w:t>
      </w:r>
      <w:r w:rsidRPr="006E54F0">
        <w:rPr>
          <w:rStyle w:val="Footnote7pt"/>
          <w:rFonts w:ascii="Times New Roman" w:hAnsi="Times New Roman"/>
          <w:bCs/>
          <w:color w:val="000000"/>
          <w:sz w:val="18"/>
          <w:lang w:val="es-AR" w:eastAsia="es-ES_tradnl"/>
        </w:rPr>
        <w:t xml:space="preserve"> del </w:t>
      </w:r>
      <w:r w:rsidRPr="006E54F0">
        <w:rPr>
          <w:rStyle w:val="Footnote7pt"/>
          <w:rFonts w:ascii="Times New Roman" w:hAnsi="Times New Roman"/>
          <w:bCs/>
          <w:i/>
          <w:color w:val="000000"/>
          <w:sz w:val="18"/>
          <w:lang w:val="es-AR" w:eastAsia="es-ES_tradnl"/>
        </w:rPr>
        <w:t>Trust</w:t>
      </w:r>
      <w:r w:rsidRPr="006E54F0">
        <w:rPr>
          <w:rStyle w:val="Footnote7pt"/>
          <w:rFonts w:ascii="Times New Roman" w:hAnsi="Times New Roman"/>
          <w:bCs/>
          <w:color w:val="000000"/>
          <w:sz w:val="18"/>
          <w:lang w:val="es-AR" w:eastAsia="es-ES_tradnl"/>
        </w:rPr>
        <w:t xml:space="preserve"> P. Devi después del 23 de septiembre de 2010.</w:t>
      </w:r>
    </w:p>
  </w:footnote>
  <w:footnote w:id="294">
    <w:p w14:paraId="0517E072"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Segundo informe de Reynolds, párr. 72 (RER-9) (traducción del Tribunal).</w:t>
      </w:r>
    </w:p>
  </w:footnote>
  <w:footnote w:id="295">
    <w:p w14:paraId="000A339C"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7pt"/>
          <w:rFonts w:ascii="Times New Roman" w:hAnsi="Times New Roman"/>
          <w:bCs/>
          <w:i/>
          <w:color w:val="000000"/>
          <w:sz w:val="18"/>
          <w:lang w:val="es-AR" w:eastAsia="es-ES_tradnl"/>
        </w:rPr>
        <w:t>Id.</w:t>
      </w:r>
      <w:r w:rsidRPr="006E54F0">
        <w:rPr>
          <w:rStyle w:val="Footnote7pt"/>
          <w:rFonts w:ascii="Times New Roman" w:hAnsi="Times New Roman"/>
          <w:bCs/>
          <w:color w:val="000000"/>
          <w:sz w:val="18"/>
          <w:lang w:val="es-AR" w:eastAsia="es-ES_tradnl"/>
        </w:rPr>
        <w:t xml:space="preserve"> en 74.</w:t>
      </w:r>
    </w:p>
  </w:footnote>
  <w:footnote w:id="296">
    <w:p w14:paraId="226A9202"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Réplica (Jurisdicción), párr. 154 (énfasis omitido); Acuerdo de Compra Venta entre Cayman Trust Co. Ltd. e Ian Phillips, 2 de abril de 2008, Considerando B, cláusula 4.5, Apéndice - Contrato de préstamo, cláusula 4.1 (R-0218).</w:t>
      </w:r>
    </w:p>
  </w:footnote>
  <w:footnote w:id="297">
    <w:p w14:paraId="6D702241"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Carta de Acompañamiento al Acuerdo de Compra Venta de Devi Ltd., 2 de abril de 2013 (R-0261).</w:t>
      </w:r>
    </w:p>
  </w:footnote>
  <w:footnote w:id="298">
    <w:p w14:paraId="01DF02B1"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Asignación del Beneficio del Préstamo en Relación con un Adelanto Realizado por el Administrador del Devi Trust entre Pramod Agarwal e Ian Phillips, 3 de abril de 2008, cláusula 1 (R-0219).</w:t>
      </w:r>
    </w:p>
  </w:footnote>
  <w:footnote w:id="299">
    <w:p w14:paraId="6376E324"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 xml:space="preserve">La Demandada se ha referido al caso </w:t>
      </w:r>
      <w:r w:rsidRPr="006E54F0">
        <w:rPr>
          <w:rStyle w:val="Bodytext210pt"/>
          <w:rFonts w:eastAsia="Calibri"/>
          <w:bCs/>
          <w:color w:val="000000"/>
          <w:sz w:val="18"/>
          <w:lang w:val="es-AR" w:eastAsia="es-ES_tradnl"/>
        </w:rPr>
        <w:t>Benhamou.</w:t>
      </w:r>
      <w:r w:rsidRPr="006E54F0">
        <w:rPr>
          <w:rStyle w:val="Footnote7pt"/>
          <w:rFonts w:ascii="Times New Roman" w:hAnsi="Times New Roman"/>
          <w:bCs/>
          <w:color w:val="000000"/>
          <w:sz w:val="18"/>
          <w:lang w:val="es-AR" w:eastAsia="es-ES_tradnl"/>
        </w:rPr>
        <w:t xml:space="preserve"> El Tribunal no considera necesario abordar los pormenores de ese caso en sus consideraciones. El caso giró en tomo a fideicomisos en países de derecho civil, no en tomo a </w:t>
      </w:r>
      <w:r w:rsidRPr="006E54F0">
        <w:rPr>
          <w:rStyle w:val="Bodytext210pt"/>
          <w:rFonts w:eastAsia="Calibri"/>
          <w:bCs/>
          <w:color w:val="000000"/>
          <w:sz w:val="18"/>
          <w:lang w:val="es-AR" w:eastAsia="es-ES_tradnl"/>
        </w:rPr>
        <w:t>trusts,</w:t>
      </w:r>
      <w:r w:rsidRPr="006E54F0">
        <w:rPr>
          <w:rStyle w:val="Footnote7pt"/>
          <w:rFonts w:ascii="Times New Roman" w:hAnsi="Times New Roman"/>
          <w:bCs/>
          <w:color w:val="000000"/>
          <w:sz w:val="18"/>
          <w:lang w:val="es-AR" w:eastAsia="es-ES_tradnl"/>
        </w:rPr>
        <w:t xml:space="preserve"> y las circunstancias del caso fueron muy diferentes. La conclusión a la que ha llegado el Tribunal es específica al derecho de las Islas Caimán y puede diferir en otras jurisdicciones </w:t>
      </w:r>
      <w:r w:rsidRPr="006E54F0">
        <w:rPr>
          <w:rStyle w:val="Bodytext210pt"/>
          <w:rFonts w:eastAsia="Calibri"/>
          <w:bCs/>
          <w:color w:val="000000"/>
          <w:sz w:val="18"/>
          <w:lang w:val="es-AR" w:eastAsia="es-ES_tradnl"/>
        </w:rPr>
        <w:t>(Stephane Benhamou c. la República Oriental del Uruguay,</w:t>
      </w:r>
      <w:r w:rsidRPr="006E54F0">
        <w:rPr>
          <w:rStyle w:val="Footnote7pt"/>
          <w:rFonts w:ascii="Times New Roman" w:hAnsi="Times New Roman"/>
          <w:bCs/>
          <w:color w:val="000000"/>
          <w:sz w:val="18"/>
          <w:lang w:val="es-AR" w:eastAsia="es-ES_tradnl"/>
        </w:rPr>
        <w:t xml:space="preserve"> CNUDMI, Decisión del Tribunal sobre Excepciones a la Competencia, 19 de diciembre de 2002, págs. 72-73, 75, 77-79, 87 (RLA-0032)).</w:t>
      </w:r>
    </w:p>
  </w:footnote>
  <w:footnote w:id="300">
    <w:p w14:paraId="62F4C7AD" w14:textId="77777777" w:rsidR="003468CF" w:rsidRPr="006E54F0" w:rsidRDefault="003468CF" w:rsidP="0066401B">
      <w:pPr>
        <w:pStyle w:val="FootnoteText"/>
        <w:tabs>
          <w:tab w:val="left" w:pos="284"/>
        </w:tabs>
        <w:spacing w:before="180"/>
        <w:rPr>
          <w:rFonts w:ascii="Times New Roman" w:hAnsi="Times New Roman"/>
          <w:sz w:val="18"/>
          <w:lang w:val="es-AR"/>
        </w:rPr>
      </w:pPr>
      <w:r w:rsidRPr="006E54F0">
        <w:rPr>
          <w:rStyle w:val="FootnoteReference"/>
          <w:rFonts w:ascii="Times New Roman" w:hAnsi="Times New Roman"/>
          <w:sz w:val="18"/>
        </w:rPr>
        <w:footnoteRef/>
      </w:r>
      <w:r w:rsidRPr="006E54F0">
        <w:rPr>
          <w:rStyle w:val="Footnote7pt"/>
          <w:rFonts w:ascii="Times New Roman" w:hAnsi="Times New Roman"/>
          <w:b w:val="0"/>
          <w:bCs w:val="0"/>
          <w:sz w:val="18"/>
          <w:lang w:val="es-AR" w:eastAsia="es-ES_tradnl"/>
        </w:rPr>
        <w:tab/>
        <w:t>Escrito de Contestación (Jurisdicción), párr. 51; Primer informe de Reisman, párr. 13 (traducción del Tribunal).</w:t>
      </w:r>
    </w:p>
  </w:footnote>
  <w:footnote w:id="301">
    <w:p w14:paraId="639D2265" w14:textId="77777777" w:rsidR="003468CF" w:rsidRPr="006E54F0" w:rsidRDefault="003468CF" w:rsidP="0066401B">
      <w:pPr>
        <w:pStyle w:val="FootnoteText"/>
        <w:tabs>
          <w:tab w:val="left" w:pos="284"/>
        </w:tabs>
        <w:spacing w:before="180"/>
        <w:rPr>
          <w:rFonts w:ascii="Times New Roman" w:hAnsi="Times New Roman"/>
          <w:sz w:val="18"/>
          <w:lang w:val="es-AR"/>
        </w:rPr>
      </w:pPr>
      <w:r w:rsidRPr="006E54F0">
        <w:rPr>
          <w:rStyle w:val="FootnoteReference"/>
          <w:rFonts w:ascii="Times New Roman" w:hAnsi="Times New Roman"/>
          <w:sz w:val="18"/>
        </w:rPr>
        <w:footnoteRef/>
      </w:r>
      <w:r w:rsidRPr="006E54F0">
        <w:rPr>
          <w:rStyle w:val="Footnote7pt"/>
          <w:rFonts w:ascii="Times New Roman" w:hAnsi="Times New Roman"/>
          <w:b w:val="0"/>
          <w:bCs w:val="0"/>
          <w:sz w:val="18"/>
          <w:lang w:val="es-AR" w:eastAsia="es-ES_tradnl"/>
        </w:rPr>
        <w:tab/>
        <w:t>Notificación de Arbitraje, párrs. 27-28; Escrito de Demanda, párrs. 94, 96.</w:t>
      </w:r>
    </w:p>
  </w:footnote>
  <w:footnote w:id="302">
    <w:p w14:paraId="1E3D61C6" w14:textId="77777777" w:rsidR="003468CF" w:rsidRPr="006E54F0" w:rsidRDefault="003468CF" w:rsidP="0066401B">
      <w:pPr>
        <w:pStyle w:val="FootnoteText"/>
        <w:tabs>
          <w:tab w:val="left" w:pos="284"/>
        </w:tabs>
        <w:spacing w:before="180"/>
        <w:rPr>
          <w:rFonts w:ascii="Times New Roman" w:hAnsi="Times New Roman"/>
          <w:sz w:val="18"/>
          <w:lang w:val="es-AR"/>
        </w:rPr>
      </w:pPr>
      <w:r w:rsidRPr="006E54F0">
        <w:rPr>
          <w:rStyle w:val="FootnoteReference"/>
          <w:rFonts w:ascii="Times New Roman" w:hAnsi="Times New Roman"/>
          <w:sz w:val="18"/>
        </w:rPr>
        <w:footnoteRef/>
      </w:r>
      <w:r w:rsidRPr="006E54F0">
        <w:rPr>
          <w:rStyle w:val="Footnote7pt"/>
          <w:rFonts w:ascii="Times New Roman" w:hAnsi="Times New Roman"/>
          <w:b w:val="0"/>
          <w:bCs w:val="0"/>
          <w:sz w:val="18"/>
          <w:lang w:val="es-AR" w:eastAsia="es-ES_tradnl"/>
        </w:rPr>
        <w:tab/>
        <w:t>Tr. audiencia, día 15, 3952:3-10 (original en inglés, traducción del Tribunal).</w:t>
      </w:r>
    </w:p>
  </w:footnote>
  <w:footnote w:id="303">
    <w:p w14:paraId="33DC9DAE"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Escrito de Contestación (Jurisdicción), párr. 53 (énfasis del Tribunal).</w:t>
      </w:r>
    </w:p>
  </w:footnote>
  <w:footnote w:id="304">
    <w:p w14:paraId="3199F141"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Bodytext210pt"/>
          <w:rFonts w:eastAsia="Calibri"/>
          <w:bCs/>
          <w:color w:val="000000"/>
          <w:sz w:val="18"/>
          <w:lang w:val="es-AR" w:eastAsia="es-ES_tradnl"/>
        </w:rPr>
        <w:t>In the Matter of the Claim of Richard O. Graw, Executor of the Estate of Oscar Meyer, Deceased,</w:t>
      </w:r>
      <w:r w:rsidRPr="006E54F0">
        <w:rPr>
          <w:rStyle w:val="Footnote7pt"/>
          <w:rFonts w:ascii="Times New Roman" w:hAnsi="Times New Roman"/>
          <w:bCs/>
          <w:color w:val="000000"/>
          <w:sz w:val="18"/>
          <w:lang w:val="es-AR" w:eastAsia="es-ES_tradnl"/>
        </w:rPr>
        <w:t xml:space="preserve"> Decisión Propuesta, Comisión de Resolución de Reclamaciones Extranjeras de los EE. UU, Decisión No. PO-8583, 25 de agosto de 1965, pág. 53, </w:t>
      </w:r>
      <w:r w:rsidRPr="006E54F0">
        <w:rPr>
          <w:rStyle w:val="Bodytext210pt"/>
          <w:rFonts w:eastAsia="Calibri"/>
          <w:bCs/>
          <w:color w:val="000000"/>
          <w:sz w:val="18"/>
          <w:lang w:val="es-AR" w:eastAsia="es-ES_tradnl"/>
        </w:rPr>
        <w:t>ratificada por</w:t>
      </w:r>
      <w:r w:rsidRPr="006E54F0">
        <w:rPr>
          <w:rStyle w:val="Footnote7pt"/>
          <w:rFonts w:ascii="Times New Roman" w:hAnsi="Times New Roman"/>
          <w:bCs/>
          <w:color w:val="000000"/>
          <w:sz w:val="18"/>
          <w:lang w:val="es-AR" w:eastAsia="es-ES_tradnl"/>
        </w:rPr>
        <w:t xml:space="preserve"> Decisión Final, 20 de septiembre de 1965 (CLA-0138) (traducción del Tribunal).</w:t>
      </w:r>
    </w:p>
  </w:footnote>
  <w:footnote w:id="305">
    <w:p w14:paraId="79C92AAB"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Bodytext210pt"/>
          <w:rFonts w:eastAsia="Calibri"/>
          <w:bCs/>
          <w:color w:val="000000"/>
          <w:sz w:val="18"/>
          <w:lang w:val="es-AR" w:eastAsia="es-ES_tradnl"/>
        </w:rPr>
        <w:t>Id.</w:t>
      </w:r>
      <w:r w:rsidRPr="006E54F0">
        <w:rPr>
          <w:rStyle w:val="Footnote7pt"/>
          <w:rFonts w:ascii="Times New Roman" w:hAnsi="Times New Roman"/>
          <w:bCs/>
          <w:color w:val="000000"/>
          <w:sz w:val="18"/>
          <w:lang w:val="es-AR" w:eastAsia="es-ES_tradnl"/>
        </w:rPr>
        <w:t xml:space="preserve"> en 54 (traducción del Tribunal).</w:t>
      </w:r>
    </w:p>
  </w:footnote>
  <w:footnote w:id="306">
    <w:p w14:paraId="3576DD14"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Bodytext210pt"/>
          <w:rFonts w:eastAsia="Calibri"/>
          <w:bCs/>
          <w:color w:val="000000"/>
          <w:sz w:val="18"/>
          <w:lang w:val="es-AR" w:eastAsia="es-ES_tradnl"/>
        </w:rPr>
        <w:t>Id.</w:t>
      </w:r>
      <w:r w:rsidRPr="006E54F0">
        <w:rPr>
          <w:rStyle w:val="Footnote7pt"/>
          <w:rFonts w:ascii="Times New Roman" w:hAnsi="Times New Roman"/>
          <w:bCs/>
          <w:color w:val="000000"/>
          <w:sz w:val="18"/>
          <w:lang w:val="es-AR" w:eastAsia="es-ES_tradnl"/>
        </w:rPr>
        <w:t xml:space="preserve"> en 53-54 (traducción y énfasis del Tribunal).</w:t>
      </w:r>
    </w:p>
  </w:footnote>
  <w:footnote w:id="307">
    <w:p w14:paraId="2C0C24F4"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Bodytext210pt"/>
          <w:rFonts w:eastAsia="Calibri"/>
          <w:bCs/>
          <w:color w:val="000000"/>
          <w:sz w:val="18"/>
          <w:lang w:val="es-AR" w:eastAsia="es-ES_tradnl"/>
        </w:rPr>
        <w:t>In the Matter of the Claim ofAmerican Security &amp; Trust Co.,</w:t>
      </w:r>
      <w:r w:rsidRPr="006E54F0">
        <w:rPr>
          <w:rStyle w:val="Footnote7pt"/>
          <w:rFonts w:ascii="Times New Roman" w:hAnsi="Times New Roman"/>
          <w:bCs/>
          <w:color w:val="000000"/>
          <w:sz w:val="18"/>
          <w:lang w:val="es-AR" w:eastAsia="es-ES_tradnl"/>
        </w:rPr>
        <w:t xml:space="preserve"> Decisión Propuesta, Comisión de Resolución de Reclamaciones Extranjeras de los EE. UU., Decisión No. HUNG-51,30 de enero de 1957, pág. 2, </w:t>
      </w:r>
      <w:r w:rsidRPr="006E54F0">
        <w:rPr>
          <w:rStyle w:val="Bodytext210pt"/>
          <w:rFonts w:eastAsia="Calibri"/>
          <w:bCs/>
          <w:color w:val="000000"/>
          <w:sz w:val="18"/>
          <w:lang w:val="es-AR" w:eastAsia="es-ES_tradnl"/>
        </w:rPr>
        <w:t>ratificada por</w:t>
      </w:r>
      <w:r w:rsidRPr="006E54F0">
        <w:rPr>
          <w:rStyle w:val="Footnote7pt"/>
          <w:rFonts w:ascii="Times New Roman" w:hAnsi="Times New Roman"/>
          <w:bCs/>
          <w:color w:val="000000"/>
          <w:sz w:val="18"/>
          <w:lang w:val="es-AR" w:eastAsia="es-ES_tradnl"/>
        </w:rPr>
        <w:t xml:space="preserve"> Decisión Final, 20 de marzo de 1957 (CLA-0137) (traducción del Tribunal).</w:t>
      </w:r>
    </w:p>
  </w:footnote>
  <w:footnote w:id="308">
    <w:p w14:paraId="68F27290"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Bodytext210pt"/>
          <w:rFonts w:eastAsia="Calibri"/>
          <w:bCs/>
          <w:color w:val="000000"/>
          <w:sz w:val="18"/>
          <w:lang w:val="es-AR" w:eastAsia="es-ES_tradnl"/>
        </w:rPr>
        <w:t>Véase In the Matter of the Claim ofThe Florida National Bank &amp; Trust CompanyatMiami,</w:t>
      </w:r>
      <w:r w:rsidRPr="006E54F0">
        <w:rPr>
          <w:rStyle w:val="Footnote7pt"/>
          <w:rFonts w:ascii="Times New Roman" w:hAnsi="Times New Roman"/>
          <w:bCs/>
          <w:color w:val="000000"/>
          <w:sz w:val="18"/>
          <w:lang w:val="es-AR" w:eastAsia="es-ES_tradnl"/>
        </w:rPr>
        <w:t xml:space="preserve"> Decisión Propuesta, Comisión de Resolución de Reclamaciones Extranjeras de los EE. UU., Decisión No. CU-5760, 9 de septiembre de 1970 (CLA-0139).</w:t>
      </w:r>
    </w:p>
  </w:footnote>
  <w:footnote w:id="309">
    <w:p w14:paraId="3821FAEB"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Bodytext210pt"/>
          <w:rFonts w:eastAsia="Calibri"/>
          <w:bCs/>
          <w:color w:val="000000"/>
          <w:sz w:val="18"/>
          <w:lang w:val="es-AR" w:eastAsia="es-ES_tradnl"/>
        </w:rPr>
        <w:t>In the Matter of the Claim of Edwin A. Binder, Ann A. Unger, Robert P. Anninger, Victor K Anninger &amp; Lise Haas,</w:t>
      </w:r>
      <w:r w:rsidRPr="006E54F0">
        <w:rPr>
          <w:rStyle w:val="Footnote7pt"/>
          <w:rFonts w:ascii="Times New Roman" w:hAnsi="Times New Roman"/>
          <w:bCs/>
          <w:color w:val="000000"/>
          <w:sz w:val="18"/>
          <w:lang w:val="es-AR" w:eastAsia="es-ES_tradnl"/>
        </w:rPr>
        <w:t xml:space="preserve"> Decisión Propuesta por la Comisión, Comisión de Reclamaciones Extranjeras de los EE. UU, Decisión No. 1535, 26 de noviembre de 1954, pág. 3, </w:t>
      </w:r>
      <w:r w:rsidRPr="006E54F0">
        <w:rPr>
          <w:rStyle w:val="Bodytext210pt"/>
          <w:rFonts w:eastAsia="Calibri"/>
          <w:bCs/>
          <w:color w:val="000000"/>
          <w:sz w:val="18"/>
          <w:lang w:val="es-AR" w:eastAsia="es-ES_tradnl"/>
        </w:rPr>
        <w:t xml:space="preserve">ratificada por </w:t>
      </w:r>
      <w:r w:rsidRPr="006E54F0">
        <w:rPr>
          <w:rStyle w:val="Footnote7pt"/>
          <w:rFonts w:ascii="Times New Roman" w:hAnsi="Times New Roman"/>
          <w:bCs/>
          <w:color w:val="000000"/>
          <w:sz w:val="18"/>
          <w:lang w:val="es-AR" w:eastAsia="es-ES_tradnl"/>
        </w:rPr>
        <w:t>Decisión Final, 30 de diciembre de 1954 (CLA-0136) (traducción del Tribunal).</w:t>
      </w:r>
    </w:p>
  </w:footnote>
  <w:footnote w:id="310">
    <w:p w14:paraId="0AA3E5D6"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Bodytext210pt"/>
          <w:rFonts w:eastAsia="Calibri"/>
          <w:bCs/>
          <w:color w:val="000000"/>
          <w:sz w:val="18"/>
          <w:lang w:val="es-AR" w:eastAsia="es-ES_tradnl"/>
        </w:rPr>
        <w:t>Id.</w:t>
      </w:r>
      <w:r w:rsidRPr="006E54F0">
        <w:rPr>
          <w:rStyle w:val="Footnote7pt"/>
          <w:rFonts w:ascii="Times New Roman" w:hAnsi="Times New Roman"/>
          <w:bCs/>
          <w:color w:val="000000"/>
          <w:sz w:val="18"/>
          <w:lang w:val="es-AR" w:eastAsia="es-ES_tradnl"/>
        </w:rPr>
        <w:t xml:space="preserve"> (traducción del Tribunal).</w:t>
      </w:r>
    </w:p>
  </w:footnote>
  <w:footnote w:id="311">
    <w:p w14:paraId="4CB4FBC3"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VE" w:eastAsia="es-ES_tradnl"/>
        </w:rPr>
        <w:tab/>
      </w:r>
      <w:r w:rsidRPr="006E54F0">
        <w:rPr>
          <w:rStyle w:val="Footnote8pt1"/>
          <w:rFonts w:ascii="Times New Roman" w:hAnsi="Times New Roman"/>
          <w:bCs/>
          <w:color w:val="000000"/>
          <w:sz w:val="18"/>
          <w:lang w:val="es-VE" w:eastAsia="es-ES_tradnl"/>
        </w:rPr>
        <w:t xml:space="preserve">James M. Saghi, Michael R. Saghi &amp; Allan J. Saghic. </w:t>
      </w:r>
      <w:r w:rsidRPr="006E54F0">
        <w:rPr>
          <w:rStyle w:val="Footnote8pt1"/>
          <w:rFonts w:ascii="Times New Roman" w:hAnsi="Times New Roman"/>
          <w:bCs/>
          <w:color w:val="000000"/>
          <w:sz w:val="18"/>
          <w:lang w:val="es-AR" w:eastAsia="es-ES_tradnl"/>
        </w:rPr>
        <w:t>La República Islámica de Irán,</w:t>
      </w:r>
      <w:r w:rsidRPr="006E54F0">
        <w:rPr>
          <w:rStyle w:val="Footnote7pt1"/>
          <w:rFonts w:ascii="Times New Roman" w:hAnsi="Times New Roman"/>
          <w:bCs/>
          <w:color w:val="000000"/>
          <w:sz w:val="18"/>
          <w:lang w:val="es-AR" w:eastAsia="es-ES_tradnl"/>
        </w:rPr>
        <w:t xml:space="preserve"> Caso 1USCT No. 298, Laudo No. 544-298-2, 22 de enero de 1993, párrs. 28</w:t>
      </w:r>
      <w:r w:rsidRPr="006E54F0">
        <w:rPr>
          <w:rStyle w:val="Footnote7pt"/>
          <w:rFonts w:ascii="Times New Roman" w:hAnsi="Times New Roman"/>
          <w:bCs/>
          <w:color w:val="000000"/>
          <w:sz w:val="18"/>
          <w:lang w:val="es-AR" w:eastAsia="es-ES_tradnl"/>
        </w:rPr>
        <w:t xml:space="preserve">, </w:t>
      </w:r>
      <w:r w:rsidRPr="006E54F0">
        <w:rPr>
          <w:rStyle w:val="Footnote7pt1"/>
          <w:rFonts w:ascii="Times New Roman" w:hAnsi="Times New Roman"/>
          <w:bCs/>
          <w:color w:val="000000"/>
          <w:sz w:val="18"/>
          <w:lang w:val="es-AR" w:eastAsia="es-ES_tradnl"/>
        </w:rPr>
        <w:t xml:space="preserve">30 </w:t>
      </w:r>
      <w:r w:rsidRPr="006E54F0">
        <w:rPr>
          <w:rStyle w:val="Footnote7pt"/>
          <w:rFonts w:ascii="Times New Roman" w:hAnsi="Times New Roman"/>
          <w:bCs/>
          <w:color w:val="000000"/>
          <w:sz w:val="18"/>
          <w:lang w:val="es-AR" w:eastAsia="es-ES_tradnl"/>
        </w:rPr>
        <w:t>(CLA-0144) (traducción y énfasis del Tribunal).</w:t>
      </w:r>
    </w:p>
  </w:footnote>
  <w:footnote w:id="312">
    <w:p w14:paraId="562B4A72"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Howard Needles Tammen &amp; Bergendoff c. El Gobierno de la República Islámica de Irán,</w:t>
      </w:r>
      <w:r w:rsidRPr="006E54F0">
        <w:rPr>
          <w:rStyle w:val="Footnote7pt1"/>
          <w:rFonts w:ascii="Times New Roman" w:hAnsi="Times New Roman"/>
          <w:bCs/>
          <w:color w:val="000000"/>
          <w:sz w:val="18"/>
          <w:lang w:val="es-AR" w:eastAsia="es-ES_tradnl"/>
        </w:rPr>
        <w:t xml:space="preserve"> Caso IUSCT No. 68, Laudo No. 244-68-2, 8 de agosto de 1986, párr. 41 </w:t>
      </w:r>
      <w:r w:rsidRPr="006E54F0">
        <w:rPr>
          <w:rStyle w:val="Footnote7pt"/>
          <w:rFonts w:ascii="Times New Roman" w:hAnsi="Times New Roman"/>
          <w:bCs/>
          <w:color w:val="000000"/>
          <w:sz w:val="18"/>
          <w:lang w:val="es-AR" w:eastAsia="es-ES_tradnl"/>
        </w:rPr>
        <w:t>(CLA-0145) (traducción del Tribunal).</w:t>
      </w:r>
    </w:p>
  </w:footnote>
  <w:footnote w:id="313">
    <w:p w14:paraId="55D3D2C0"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International Technical Producís Corporation e ITP Export Corporation c. El Gobierno de la República Islámica de Irán et al,</w:t>
      </w:r>
      <w:r w:rsidRPr="006E54F0">
        <w:rPr>
          <w:rStyle w:val="Footnote7pt1"/>
          <w:rFonts w:ascii="Times New Roman" w:hAnsi="Times New Roman"/>
          <w:bCs/>
          <w:color w:val="000000"/>
          <w:sz w:val="18"/>
          <w:lang w:val="es-AR" w:eastAsia="es-ES_tradnl"/>
        </w:rPr>
        <w:t xml:space="preserve"> Caso No. 302, Cámara Tres, Laudo No. 196-302-3, Laudo Final y Opinión concurrente y disidente de Charles N. Brower, 24 de octubre de 1985, pág. 14 </w:t>
      </w:r>
      <w:r w:rsidRPr="006E54F0">
        <w:rPr>
          <w:rStyle w:val="Footnote7pt"/>
          <w:rFonts w:ascii="Times New Roman" w:hAnsi="Times New Roman"/>
          <w:bCs/>
          <w:color w:val="000000"/>
          <w:sz w:val="18"/>
          <w:lang w:val="es-AR" w:eastAsia="es-ES_tradnl"/>
        </w:rPr>
        <w:t xml:space="preserve">(CLA-0146) (traducción del Tribunal). Según consta en el laudo, el Sr. Patrick era Director Ejecutivo Presidente de </w:t>
      </w:r>
      <w:r w:rsidRPr="006E54F0">
        <w:rPr>
          <w:rStyle w:val="Bodytext210pt"/>
          <w:rFonts w:eastAsia="Calibri"/>
          <w:bCs/>
          <w:color w:val="000000"/>
          <w:sz w:val="18"/>
          <w:lang w:val="es-AR" w:eastAsia="es-ES_tradnl"/>
        </w:rPr>
        <w:t>Mitchel and Roberts</w:t>
      </w:r>
      <w:r w:rsidRPr="006E54F0">
        <w:rPr>
          <w:rStyle w:val="Footnote7pt"/>
          <w:rFonts w:ascii="Times New Roman" w:hAnsi="Times New Roman"/>
          <w:bCs/>
          <w:color w:val="000000"/>
          <w:sz w:val="18"/>
          <w:lang w:val="es-AR" w:eastAsia="es-ES_tradnl"/>
        </w:rPr>
        <w:t xml:space="preserve"> y propietario, hasta diciembre de 1976, de la mayoría de las acciones de </w:t>
      </w:r>
      <w:r w:rsidRPr="006E54F0">
        <w:rPr>
          <w:rStyle w:val="Bodytext210pt"/>
          <w:rFonts w:eastAsia="Calibri"/>
          <w:bCs/>
          <w:color w:val="000000"/>
          <w:sz w:val="18"/>
          <w:lang w:val="es-AR" w:eastAsia="es-ES_tradnl"/>
        </w:rPr>
        <w:t>Mitchel and Roberts,</w:t>
      </w:r>
      <w:r w:rsidRPr="006E54F0">
        <w:rPr>
          <w:rStyle w:val="Footnote7pt"/>
          <w:rFonts w:ascii="Times New Roman" w:hAnsi="Times New Roman"/>
          <w:bCs/>
          <w:color w:val="000000"/>
          <w:sz w:val="18"/>
          <w:lang w:val="es-AR" w:eastAsia="es-ES_tradnl"/>
        </w:rPr>
        <w:t xml:space="preserve"> puestas en un trustpara la demandante ITP.</w:t>
      </w:r>
    </w:p>
  </w:footnote>
  <w:footnote w:id="314">
    <w:p w14:paraId="3A48F9B3"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Bodytext210pt"/>
          <w:rFonts w:eastAsia="Calibri"/>
          <w:bCs/>
          <w:color w:val="000000"/>
          <w:sz w:val="18"/>
          <w:lang w:val="es-AR" w:eastAsia="es-ES_tradnl"/>
        </w:rPr>
        <w:t>Id.</w:t>
      </w:r>
      <w:r w:rsidRPr="006E54F0">
        <w:rPr>
          <w:rStyle w:val="Footnote7pt"/>
          <w:rFonts w:ascii="Times New Roman" w:hAnsi="Times New Roman"/>
          <w:bCs/>
          <w:color w:val="000000"/>
          <w:sz w:val="18"/>
          <w:lang w:val="es-AR" w:eastAsia="es-ES_tradnl"/>
        </w:rPr>
        <w:t xml:space="preserve"> en 14 (traducción y énfasis del Tribunal).</w:t>
      </w:r>
    </w:p>
  </w:footnote>
  <w:footnote w:id="315">
    <w:p w14:paraId="1CA01BBA"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 xml:space="preserve">C. N. Brower, J. D. Brueschke, </w:t>
      </w:r>
      <w:r w:rsidRPr="006E54F0">
        <w:rPr>
          <w:rStyle w:val="Bodytext210pt"/>
          <w:rFonts w:eastAsia="Calibri"/>
          <w:bCs/>
          <w:color w:val="000000"/>
          <w:sz w:val="18"/>
          <w:lang w:val="es-AR" w:eastAsia="es-ES_tradnl"/>
        </w:rPr>
        <w:t>The Iran-United States Claims Tribunal,</w:t>
      </w:r>
      <w:r w:rsidRPr="006E54F0">
        <w:rPr>
          <w:rStyle w:val="Footnote7pt"/>
          <w:rFonts w:ascii="Times New Roman" w:hAnsi="Times New Roman"/>
          <w:bCs/>
          <w:color w:val="000000"/>
          <w:sz w:val="18"/>
          <w:lang w:val="es-AR" w:eastAsia="es-ES_tradnl"/>
        </w:rPr>
        <w:t xml:space="preserve"> (1998), Kluwer Law International, pág. 111 (CLA-0140) (traducción y énfasis del Tribunal).</w:t>
      </w:r>
    </w:p>
  </w:footnote>
  <w:footnote w:id="316">
    <w:p w14:paraId="45545DED"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Occidental Petroleum Corporation &amp; Occidental Exploration and Production Company c. La República del Ecuador,</w:t>
      </w:r>
      <w:r w:rsidRPr="006E54F0">
        <w:rPr>
          <w:rStyle w:val="Footnote7pt1"/>
          <w:rFonts w:ascii="Times New Roman" w:hAnsi="Times New Roman"/>
          <w:bCs/>
          <w:color w:val="000000"/>
          <w:sz w:val="18"/>
          <w:lang w:val="es-AR" w:eastAsia="es-ES_tradnl"/>
        </w:rPr>
        <w:t xml:space="preserve"> Caso CIADI No. ARB/06/11, Decisión sobre anulación del laudo, 2 de noviembre de 2015, párrs. 202-203 </w:t>
      </w:r>
      <w:r w:rsidRPr="006E54F0">
        <w:rPr>
          <w:rStyle w:val="Footnote7pt"/>
          <w:rFonts w:ascii="Times New Roman" w:hAnsi="Times New Roman"/>
          <w:bCs/>
          <w:color w:val="000000"/>
          <w:sz w:val="18"/>
          <w:lang w:val="es-AR" w:eastAsia="es-ES_tradnl"/>
        </w:rPr>
        <w:t>(CLA-0149) (traducción del Tribunal, énfasis en el original).</w:t>
      </w:r>
    </w:p>
  </w:footnote>
  <w:footnote w:id="317">
    <w:p w14:paraId="50A41F25"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Id.</w:t>
      </w:r>
      <w:r w:rsidRPr="006E54F0">
        <w:rPr>
          <w:rStyle w:val="Footnote7pt1"/>
          <w:rFonts w:ascii="Times New Roman" w:hAnsi="Times New Roman"/>
          <w:bCs/>
          <w:color w:val="000000"/>
          <w:sz w:val="18"/>
          <w:lang w:val="es-AR" w:eastAsia="es-ES_tradnl"/>
        </w:rPr>
        <w:t xml:space="preserve"> en 262</w:t>
      </w:r>
      <w:r w:rsidRPr="006E54F0">
        <w:rPr>
          <w:rStyle w:val="Footnote7pt"/>
          <w:rFonts w:ascii="Times New Roman" w:hAnsi="Times New Roman"/>
          <w:bCs/>
          <w:color w:val="000000"/>
          <w:sz w:val="18"/>
          <w:lang w:val="es-AR" w:eastAsia="es-ES_tradnl"/>
        </w:rPr>
        <w:t xml:space="preserve">, </w:t>
      </w:r>
      <w:r w:rsidRPr="006E54F0">
        <w:rPr>
          <w:rStyle w:val="Footnote7pt1"/>
          <w:rFonts w:ascii="Times New Roman" w:hAnsi="Times New Roman"/>
          <w:bCs/>
          <w:color w:val="000000"/>
          <w:sz w:val="18"/>
          <w:lang w:val="es-AR" w:eastAsia="es-ES_tradnl"/>
        </w:rPr>
        <w:t xml:space="preserve">265 </w:t>
      </w:r>
      <w:r w:rsidRPr="006E54F0">
        <w:rPr>
          <w:rStyle w:val="Footnote7pt"/>
          <w:rFonts w:ascii="Times New Roman" w:hAnsi="Times New Roman"/>
          <w:bCs/>
          <w:color w:val="000000"/>
          <w:sz w:val="18"/>
          <w:lang w:val="es-AR" w:eastAsia="es-ES_tradnl"/>
        </w:rPr>
        <w:t>(CLA-0149) (traducción y énfasis del Tribunal).</w:t>
      </w:r>
    </w:p>
  </w:footnote>
  <w:footnote w:id="318">
    <w:p w14:paraId="434BA44F"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Dúplica (Jurisdicción), párr. 70.</w:t>
      </w:r>
    </w:p>
  </w:footnote>
  <w:footnote w:id="319">
    <w:p w14:paraId="47EB4AAF"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 xml:space="preserve">El término </w:t>
      </w:r>
      <w:r w:rsidRPr="006E54F0">
        <w:rPr>
          <w:rStyle w:val="Bodytext210pt"/>
          <w:rFonts w:eastAsia="Calibri"/>
          <w:bCs/>
          <w:color w:val="000000"/>
          <w:sz w:val="18"/>
          <w:lang w:val="es-AR" w:eastAsia="es-ES_tradnl"/>
        </w:rPr>
        <w:t>"interest"</w:t>
      </w:r>
      <w:r w:rsidRPr="006E54F0">
        <w:rPr>
          <w:rStyle w:val="Footnote7pt"/>
          <w:rFonts w:ascii="Times New Roman" w:hAnsi="Times New Roman"/>
          <w:bCs/>
          <w:color w:val="000000"/>
          <w:sz w:val="18"/>
          <w:lang w:val="es-AR" w:eastAsia="es-ES_tradnl"/>
        </w:rPr>
        <w:t xml:space="preserve"> (en inglés) es un término muy amplio. </w:t>
      </w:r>
      <w:r w:rsidRPr="006E54F0">
        <w:rPr>
          <w:rStyle w:val="Bodytext210pt"/>
          <w:rFonts w:eastAsia="Calibri"/>
          <w:bCs/>
          <w:color w:val="000000"/>
          <w:sz w:val="18"/>
          <w:lang w:val="es-AR" w:eastAsia="es-ES_tradnl"/>
        </w:rPr>
        <w:t>Black's Law Dictionary</w:t>
      </w:r>
      <w:r w:rsidRPr="006E54F0">
        <w:rPr>
          <w:rStyle w:val="Footnote7pt"/>
          <w:rFonts w:ascii="Times New Roman" w:hAnsi="Times New Roman"/>
          <w:bCs/>
          <w:color w:val="000000"/>
          <w:sz w:val="18"/>
          <w:lang w:val="es-AR" w:eastAsia="es-ES_tradnl"/>
        </w:rPr>
        <w:t xml:space="preserve"> lo define como un "término general" que puede incluir "un derecho a tener la ventaja que se deriva de algo: cualquier derecho a la naturaleza de la propiedad, pero menos que un título; un derecho parcial o indivisible; un título de una acción" (traducción del Tribunal).</w:t>
      </w:r>
    </w:p>
  </w:footnote>
  <w:footnote w:id="320">
    <w:p w14:paraId="289CE934"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Blue Bank International &amp; Trust (Barbados)Ltd. c. Repúblca Bolivariana de Venezuela,</w:t>
      </w:r>
      <w:r w:rsidRPr="006E54F0">
        <w:rPr>
          <w:rStyle w:val="Footnote7pt1"/>
          <w:rFonts w:ascii="Times New Roman" w:hAnsi="Times New Roman"/>
          <w:bCs/>
          <w:color w:val="000000"/>
          <w:sz w:val="18"/>
          <w:lang w:val="es-AR" w:eastAsia="es-ES_tradnl"/>
        </w:rPr>
        <w:t xml:space="preserve"> Caso CIADI No. ARB/12/20, Laudo, 26 de abril de 2017, párr. 170 </w:t>
      </w:r>
      <w:r w:rsidRPr="006E54F0">
        <w:rPr>
          <w:rStyle w:val="Footnote7pt"/>
          <w:rFonts w:ascii="Times New Roman" w:hAnsi="Times New Roman"/>
          <w:bCs/>
          <w:color w:val="000000"/>
          <w:sz w:val="18"/>
          <w:lang w:val="es-AR" w:eastAsia="es-ES_tradnl"/>
        </w:rPr>
        <w:t>(CLA-0147) (traducción del Tribunal).</w:t>
      </w:r>
    </w:p>
  </w:footnote>
  <w:footnote w:id="321">
    <w:p w14:paraId="26AB2A43"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Escrito de Contestación (Jurisdicción), párr. 68.</w:t>
      </w:r>
    </w:p>
  </w:footnote>
  <w:footnote w:id="322">
    <w:p w14:paraId="0F8112ED"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Perenco EcuadorLimited. c. La República del Ecuador,</w:t>
      </w:r>
      <w:r w:rsidRPr="006E54F0">
        <w:rPr>
          <w:rStyle w:val="Footnote7pt1"/>
          <w:rFonts w:ascii="Times New Roman" w:hAnsi="Times New Roman"/>
          <w:bCs/>
          <w:color w:val="000000"/>
          <w:sz w:val="18"/>
          <w:lang w:val="es-AR" w:eastAsia="es-ES_tradnl"/>
        </w:rPr>
        <w:t xml:space="preserve"> Caso CIADI No. ARB/08/6, Decisión sobre las Cuestiones Pendientes relativas a la Jurisdicción y sobre la Responsabilidad, 12 de septiembre de 2014, párr. 522 </w:t>
      </w:r>
      <w:r w:rsidRPr="006E54F0">
        <w:rPr>
          <w:rStyle w:val="Footnote7pt"/>
          <w:rFonts w:ascii="Times New Roman" w:hAnsi="Times New Roman"/>
          <w:bCs/>
          <w:color w:val="000000"/>
          <w:sz w:val="18"/>
          <w:lang w:val="es-AR" w:eastAsia="es-ES_tradnl"/>
        </w:rPr>
        <w:t>(CLA-0085) (traducción del Tribunal).</w:t>
      </w:r>
    </w:p>
  </w:footnote>
  <w:footnote w:id="323">
    <w:p w14:paraId="65BFC59E"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Id</w:t>
      </w:r>
      <w:r w:rsidRPr="006E54F0">
        <w:rPr>
          <w:rStyle w:val="Footnote7pt1"/>
          <w:rFonts w:ascii="Times New Roman" w:hAnsi="Times New Roman"/>
          <w:bCs/>
          <w:color w:val="000000"/>
          <w:sz w:val="18"/>
          <w:lang w:val="es-AR" w:eastAsia="es-ES_tradnl"/>
        </w:rPr>
        <w:t xml:space="preserve">, párr. 529 </w:t>
      </w:r>
      <w:r w:rsidRPr="006E54F0">
        <w:rPr>
          <w:rStyle w:val="Footnote7pt"/>
          <w:rFonts w:ascii="Times New Roman" w:hAnsi="Times New Roman"/>
          <w:bCs/>
          <w:color w:val="000000"/>
          <w:sz w:val="18"/>
          <w:lang w:val="es-AR" w:eastAsia="es-ES_tradnl"/>
        </w:rPr>
        <w:t>(traducción y énfasis del Tribunal).</w:t>
      </w:r>
    </w:p>
  </w:footnote>
  <w:footnote w:id="324">
    <w:p w14:paraId="090D2F18"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Memorial (Jurisdicción), nota 51; Escrito de Contestación (Jurisdicción), nota 149.</w:t>
      </w:r>
    </w:p>
  </w:footnote>
  <w:footnote w:id="325">
    <w:p w14:paraId="59D46663"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Mr. Saba Fakes c. la República de Turquía,</w:t>
      </w:r>
      <w:r w:rsidRPr="006E54F0">
        <w:rPr>
          <w:rStyle w:val="Footnote7pt1"/>
          <w:rFonts w:ascii="Times New Roman" w:hAnsi="Times New Roman"/>
          <w:bCs/>
          <w:color w:val="000000"/>
          <w:sz w:val="18"/>
          <w:lang w:val="es-AR" w:eastAsia="es-ES_tradnl"/>
        </w:rPr>
        <w:t xml:space="preserve"> Caso CIADI No. ARB/07/20, Laudo, 14 de julio de 2010, párr. 134 </w:t>
      </w:r>
      <w:r w:rsidRPr="006E54F0">
        <w:rPr>
          <w:rStyle w:val="Footnote7pt"/>
          <w:rFonts w:ascii="Times New Roman" w:hAnsi="Times New Roman"/>
          <w:bCs/>
          <w:color w:val="000000"/>
          <w:sz w:val="18"/>
          <w:lang w:val="es-AR" w:eastAsia="es-ES_tradnl"/>
        </w:rPr>
        <w:t>(RLA-0082) (traducción del Tribunal).</w:t>
      </w:r>
    </w:p>
  </w:footnote>
  <w:footnote w:id="326">
    <w:p w14:paraId="4468C66C"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Escrito de Contestación (Jurisdicción), párr. 70 (traducción y énfasis del Tribunal).</w:t>
      </w:r>
    </w:p>
  </w:footnote>
  <w:footnote w:id="327">
    <w:p w14:paraId="0290EAA4"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Eureko B.V. c. República de Polonia,</w:t>
      </w:r>
      <w:r w:rsidRPr="006E54F0">
        <w:rPr>
          <w:rStyle w:val="Footnote7pt1"/>
          <w:rFonts w:ascii="Times New Roman" w:hAnsi="Times New Roman"/>
          <w:bCs/>
          <w:color w:val="000000"/>
          <w:sz w:val="18"/>
          <w:lang w:val="es-AR" w:eastAsia="es-ES_tradnl"/>
        </w:rPr>
        <w:t xml:space="preserve"> CNUDMI, Laudo parcial, 19 de agosto de 2005, párrs. 142</w:t>
      </w:r>
      <w:r w:rsidRPr="006E54F0">
        <w:rPr>
          <w:rStyle w:val="Footnote7pt"/>
          <w:rFonts w:ascii="Times New Roman" w:hAnsi="Times New Roman"/>
          <w:bCs/>
          <w:color w:val="000000"/>
          <w:sz w:val="18"/>
          <w:lang w:val="es-AR" w:eastAsia="es-ES_tradnl"/>
        </w:rPr>
        <w:t>,</w:t>
      </w:r>
      <w:r w:rsidRPr="006E54F0">
        <w:rPr>
          <w:rStyle w:val="Footnote7pt1"/>
          <w:rFonts w:ascii="Times New Roman" w:hAnsi="Times New Roman"/>
          <w:bCs/>
          <w:color w:val="000000"/>
          <w:sz w:val="18"/>
          <w:lang w:val="es-AR" w:eastAsia="es-ES_tradnl"/>
        </w:rPr>
        <w:t xml:space="preserve">145 </w:t>
      </w:r>
      <w:r w:rsidRPr="006E54F0">
        <w:rPr>
          <w:rStyle w:val="Footnote7pt"/>
          <w:rFonts w:ascii="Times New Roman" w:hAnsi="Times New Roman"/>
          <w:bCs/>
          <w:color w:val="000000"/>
          <w:sz w:val="18"/>
          <w:lang w:val="es-AR" w:eastAsia="es-ES_tradnl"/>
        </w:rPr>
        <w:t>(CLA-0057) (traducción y énfasis del Tribunal).</w:t>
      </w:r>
    </w:p>
  </w:footnote>
  <w:footnote w:id="328">
    <w:p w14:paraId="0C863B0C"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Segundo informe de Reisman, párr. 117 (CER-13).</w:t>
      </w:r>
    </w:p>
  </w:footnote>
  <w:footnote w:id="329">
    <w:p w14:paraId="1493E7F2"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William Nagel c. República Checa,</w:t>
      </w:r>
      <w:r w:rsidRPr="006E54F0">
        <w:rPr>
          <w:rStyle w:val="Footnote7pt1"/>
          <w:rFonts w:ascii="Times New Roman" w:hAnsi="Times New Roman"/>
          <w:bCs/>
          <w:color w:val="000000"/>
          <w:sz w:val="18"/>
          <w:lang w:val="es-AR" w:eastAsia="es-ES_tradnl"/>
        </w:rPr>
        <w:t xml:space="preserve"> Caso CCE No. 049/2002, Laudo final, 9 de septiembre de 2003, párrs. 326</w:t>
      </w:r>
      <w:r w:rsidRPr="006E54F0">
        <w:rPr>
          <w:rStyle w:val="Footnote7pt"/>
          <w:rFonts w:ascii="Times New Roman" w:hAnsi="Times New Roman"/>
          <w:bCs/>
          <w:color w:val="000000"/>
          <w:sz w:val="18"/>
          <w:lang w:val="es-AR" w:eastAsia="es-ES_tradnl"/>
        </w:rPr>
        <w:t xml:space="preserve">, </w:t>
      </w:r>
      <w:r w:rsidRPr="006E54F0">
        <w:rPr>
          <w:rStyle w:val="Footnote7pt1"/>
          <w:rFonts w:ascii="Times New Roman" w:hAnsi="Times New Roman"/>
          <w:bCs/>
          <w:color w:val="000000"/>
          <w:sz w:val="18"/>
          <w:lang w:val="es-AR" w:eastAsia="es-ES_tradnl"/>
        </w:rPr>
        <w:t xml:space="preserve">329 </w:t>
      </w:r>
      <w:r w:rsidRPr="006E54F0">
        <w:rPr>
          <w:rStyle w:val="Footnote7pt"/>
          <w:rFonts w:ascii="Times New Roman" w:hAnsi="Times New Roman"/>
          <w:bCs/>
          <w:color w:val="000000"/>
          <w:sz w:val="18"/>
          <w:lang w:val="es-AR" w:eastAsia="es-ES_tradnl"/>
        </w:rPr>
        <w:t>(RLA-0178) (traducción del Tribunal).</w:t>
      </w:r>
    </w:p>
  </w:footnote>
  <w:footnote w:id="330">
    <w:p w14:paraId="0935FC4F"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Dúplica (Jurisdicción), párr. 39.</w:t>
      </w:r>
    </w:p>
  </w:footnote>
  <w:footnote w:id="331">
    <w:p w14:paraId="771D1F47"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El tribunal comentó: "[s]i fuese necesario que el Tribunal decida sobre el efecto legal del Protocolo de Intenciones y la Lista</w:t>
      </w:r>
      <w:r w:rsidRPr="006E54F0">
        <w:rPr>
          <w:rFonts w:ascii="Times New Roman" w:hAnsi="Times New Roman"/>
          <w:b w:val="0"/>
          <w:sz w:val="18"/>
          <w:lang w:val="es-AR"/>
        </w:rPr>
        <w:t xml:space="preserve"> </w:t>
      </w:r>
      <w:r w:rsidRPr="006E54F0">
        <w:rPr>
          <w:rStyle w:val="Footnote7pt"/>
          <w:rFonts w:ascii="Times New Roman" w:hAnsi="Times New Roman"/>
          <w:bCs/>
          <w:color w:val="000000"/>
          <w:sz w:val="18"/>
          <w:lang w:val="es-AR" w:eastAsia="es-ES_tradnl"/>
        </w:rPr>
        <w:t xml:space="preserve">Complementaria de Posibles Sitios, su conclusión sería que estos documentos representaban un acuerdo para acordar cooperar en proyectos de construcción por definir. Como tales, </w:t>
      </w:r>
      <w:r w:rsidRPr="006E54F0">
        <w:rPr>
          <w:rStyle w:val="Bodytext210pt"/>
          <w:rFonts w:eastAsia="Calibri"/>
          <w:bCs/>
          <w:color w:val="000000"/>
          <w:sz w:val="18"/>
          <w:lang w:val="es-AR" w:eastAsia="es-ES_tradnl"/>
        </w:rPr>
        <w:t>no pretenden generar derechos y obligaciones exigibles legalmente, y no podrían constituir una inversión para los fines del articulo I(1)(a)".</w:t>
      </w:r>
      <w:r w:rsidRPr="006E54F0">
        <w:rPr>
          <w:rStyle w:val="Footnote7pt"/>
          <w:rFonts w:ascii="Times New Roman" w:hAnsi="Times New Roman"/>
          <w:bCs/>
          <w:color w:val="000000"/>
          <w:sz w:val="18"/>
          <w:lang w:val="es-AR" w:eastAsia="es-ES_tradnl"/>
        </w:rPr>
        <w:t xml:space="preserve"> (énfasis agregado, énfasis original omitido). </w:t>
      </w:r>
      <w:r w:rsidRPr="006E54F0">
        <w:rPr>
          <w:rStyle w:val="Footnote8pt1"/>
          <w:rFonts w:ascii="Times New Roman" w:hAnsi="Times New Roman"/>
          <w:bCs/>
          <w:color w:val="000000"/>
          <w:sz w:val="18"/>
          <w:lang w:val="es-AR" w:eastAsia="es-ES_tradnl"/>
        </w:rPr>
        <w:t xml:space="preserve">Generation Ukraine, Inc. c. Ucrania, </w:t>
      </w:r>
      <w:r w:rsidRPr="006E54F0">
        <w:rPr>
          <w:rStyle w:val="Footnote7pt1"/>
          <w:rFonts w:ascii="Times New Roman" w:hAnsi="Times New Roman"/>
          <w:bCs/>
          <w:color w:val="000000"/>
          <w:sz w:val="18"/>
          <w:lang w:val="es-AR" w:eastAsia="es-ES_tradnl"/>
        </w:rPr>
        <w:t xml:space="preserve">Caso CIADI No. ARB/00/9, Laudo, 16 de septiembre de 2003, párr. 18.9 </w:t>
      </w:r>
      <w:r w:rsidRPr="006E54F0">
        <w:rPr>
          <w:rStyle w:val="Footnote7pt"/>
          <w:rFonts w:ascii="Times New Roman" w:hAnsi="Times New Roman"/>
          <w:bCs/>
          <w:color w:val="000000"/>
          <w:sz w:val="18"/>
          <w:lang w:val="es-AR" w:eastAsia="es-ES_tradnl"/>
        </w:rPr>
        <w:t>(RLA-0037) (traducción del Tribunal).</w:t>
      </w:r>
    </w:p>
  </w:footnote>
  <w:footnote w:id="332">
    <w:p w14:paraId="3345CE4F" w14:textId="77777777" w:rsidR="003468CF" w:rsidRPr="006E54F0" w:rsidRDefault="003468CF" w:rsidP="0066401B">
      <w:pPr>
        <w:pStyle w:val="Footnote30"/>
        <w:shd w:val="clear" w:color="auto" w:fill="auto"/>
        <w:tabs>
          <w:tab w:val="left" w:pos="284"/>
        </w:tabs>
        <w:spacing w:before="180" w:line="240" w:lineRule="auto"/>
        <w:jc w:val="both"/>
        <w:rPr>
          <w:rFonts w:ascii="Times New Roman" w:hAnsi="Times New Roman"/>
          <w:b w:val="0"/>
          <w:sz w:val="18"/>
          <w:lang w:val="es-AR"/>
        </w:rPr>
      </w:pPr>
      <w:r w:rsidRPr="005C680F">
        <w:rPr>
          <w:rStyle w:val="Bodytext316pt"/>
          <w:rFonts w:ascii="Times New Roman" w:eastAsia="Calibri" w:hAnsi="Times New Roman"/>
          <w:b w:val="0"/>
          <w:bCs w:val="0"/>
          <w:iCs/>
          <w:smallCaps w:val="0"/>
          <w:color w:val="000000"/>
          <w:sz w:val="18"/>
          <w:vertAlign w:val="superscript"/>
          <w:lang w:eastAsia="es-ES_tradnl"/>
        </w:rPr>
        <w:footnoteRef/>
      </w:r>
      <w:r w:rsidRPr="006E54F0">
        <w:rPr>
          <w:rStyle w:val="Bodytext316pt"/>
          <w:rFonts w:ascii="Times New Roman" w:eastAsia="Calibri" w:hAnsi="Times New Roman"/>
          <w:b w:val="0"/>
          <w:bCs w:val="0"/>
          <w:i/>
          <w:iCs/>
          <w:smallCaps w:val="0"/>
          <w:color w:val="000000"/>
          <w:sz w:val="18"/>
          <w:lang w:eastAsia="es-ES_tradnl"/>
        </w:rPr>
        <w:tab/>
      </w:r>
      <w:r w:rsidRPr="006E54F0">
        <w:rPr>
          <w:rStyle w:val="Footnote38pt1"/>
          <w:rFonts w:ascii="Times New Roman" w:hAnsi="Times New Roman"/>
          <w:bCs/>
          <w:i/>
          <w:iCs/>
          <w:color w:val="000000"/>
          <w:sz w:val="18"/>
          <w:lang w:eastAsia="es-ES_tradnl"/>
        </w:rPr>
        <w:t xml:space="preserve">PSEG Global Inc., The North American Coal Corporation, and Konya Ilgin Elektrik Üretim ve Ticaret Limited Sirketic. </w:t>
      </w:r>
      <w:r w:rsidRPr="006E54F0">
        <w:rPr>
          <w:rStyle w:val="Footnote38pt1"/>
          <w:rFonts w:ascii="Times New Roman" w:hAnsi="Times New Roman"/>
          <w:bCs/>
          <w:i/>
          <w:iCs/>
          <w:color w:val="000000"/>
          <w:sz w:val="18"/>
          <w:lang w:val="es-AR" w:eastAsia="es-ES_tradnl"/>
        </w:rPr>
        <w:t>República de Turquía,</w:t>
      </w:r>
      <w:r w:rsidRPr="006E54F0">
        <w:rPr>
          <w:rStyle w:val="Footnote37pt1"/>
          <w:rFonts w:ascii="Times New Roman" w:hAnsi="Times New Roman"/>
          <w:bCs/>
          <w:color w:val="000000"/>
          <w:sz w:val="18"/>
          <w:lang w:val="es-AR" w:eastAsia="es-ES_tradnl"/>
        </w:rPr>
        <w:t xml:space="preserve"> Caso CIADI No. ARB/02/5, Decisión sobre Jurisdicción, 4 de junio de 2004, párrs. 175</w:t>
      </w:r>
      <w:r w:rsidRPr="006E54F0">
        <w:rPr>
          <w:rStyle w:val="Bodytext316pt"/>
          <w:rFonts w:ascii="Times New Roman" w:eastAsia="Calibri" w:hAnsi="Times New Roman"/>
          <w:b w:val="0"/>
          <w:bCs w:val="0"/>
          <w:i/>
          <w:iCs/>
          <w:smallCaps w:val="0"/>
          <w:color w:val="000000"/>
          <w:sz w:val="18"/>
          <w:lang w:val="es-AR" w:eastAsia="es-ES_tradnl"/>
        </w:rPr>
        <w:t>,</w:t>
      </w:r>
      <w:r w:rsidRPr="006E54F0">
        <w:rPr>
          <w:rStyle w:val="Footnote37pt1"/>
          <w:rFonts w:ascii="Times New Roman" w:hAnsi="Times New Roman"/>
          <w:bCs/>
          <w:color w:val="000000"/>
          <w:sz w:val="18"/>
          <w:lang w:val="es-AR" w:eastAsia="es-ES_tradnl"/>
        </w:rPr>
        <w:t xml:space="preserve">189 </w:t>
      </w:r>
      <w:r w:rsidRPr="006E54F0">
        <w:rPr>
          <w:rStyle w:val="Bodytext316pt"/>
          <w:rFonts w:ascii="Times New Roman" w:eastAsia="Calibri" w:hAnsi="Times New Roman"/>
          <w:b w:val="0"/>
          <w:bCs w:val="0"/>
          <w:i/>
          <w:iCs/>
          <w:smallCaps w:val="0"/>
          <w:color w:val="000000"/>
          <w:sz w:val="18"/>
          <w:lang w:val="es-AR" w:eastAsia="es-ES_tradnl"/>
        </w:rPr>
        <w:t>(RLA-0181) (traducción del Tribunal).</w:t>
      </w:r>
    </w:p>
  </w:footnote>
  <w:footnote w:id="333">
    <w:p w14:paraId="180870F6"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Apotex Inc. c. Estados Unidos de América,</w:t>
      </w:r>
      <w:r w:rsidRPr="006E54F0">
        <w:rPr>
          <w:rStyle w:val="Footnote7pt1"/>
          <w:rFonts w:ascii="Times New Roman" w:hAnsi="Times New Roman"/>
          <w:bCs/>
          <w:color w:val="000000"/>
          <w:sz w:val="18"/>
          <w:lang w:val="es-AR" w:eastAsia="es-ES_tradnl"/>
        </w:rPr>
        <w:t xml:space="preserve"> CNUDMI, Laudo sobre Jurisdicción y Admisibilidad, 14 de junio de 2013, párr. 223 </w:t>
      </w:r>
      <w:r w:rsidRPr="006E54F0">
        <w:rPr>
          <w:rStyle w:val="Footnote7pt"/>
          <w:rFonts w:ascii="Times New Roman" w:hAnsi="Times New Roman"/>
          <w:bCs/>
          <w:color w:val="000000"/>
          <w:sz w:val="18"/>
          <w:lang w:val="es-AR" w:eastAsia="es-ES_tradnl"/>
        </w:rPr>
        <w:t xml:space="preserve">(RLA-0122) (traducción del Tribunal). El tribunal opinó que "incluso si asumimos que las ANDA eran propiedad exclusiva de Apotex, no eran nada más que solicitudes de permiso para (en este caso) exportar y, como tales, no quedaban comprendidas en el artículo 1139(g) del Tratado de Libre Comercio de América del Norte (TLCAN), ni constituían 'inversiones’ conforme se contempla en términos más generales en el capítulo once del TLCAN" </w:t>
      </w:r>
      <w:r w:rsidRPr="006E54F0">
        <w:rPr>
          <w:rStyle w:val="Bodytext210pt"/>
          <w:rFonts w:eastAsia="Calibri"/>
          <w:bCs/>
          <w:color w:val="000000"/>
          <w:sz w:val="18"/>
          <w:lang w:val="es-AR" w:eastAsia="es-ES_tradnl"/>
        </w:rPr>
        <w:t>(id.</w:t>
      </w:r>
      <w:r w:rsidRPr="006E54F0">
        <w:rPr>
          <w:rStyle w:val="Footnote7pt"/>
          <w:rFonts w:ascii="Times New Roman" w:hAnsi="Times New Roman"/>
          <w:bCs/>
          <w:color w:val="000000"/>
          <w:sz w:val="18"/>
          <w:lang w:val="es-AR" w:eastAsia="es-ES_tradnl"/>
        </w:rPr>
        <w:t xml:space="preserve"> en 224 (traducción del Tribunal, énfasis omitido)).</w:t>
      </w:r>
    </w:p>
  </w:footnote>
  <w:footnote w:id="334">
    <w:p w14:paraId="16E2530E"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 xml:space="preserve">El tribunal no fue persuadido de que un pasivo contingente reúne las condiciones de una inversión. El tribunal falló "[c]oncluir que un pasivo contingente es un bien con arreglo al artículo 1, inciso a, del Tratado y, por ende, una inversión protegida, sería ir mucho más allá del concepto de inversión, incluso si se lo define en forma amplia, como este y otros tratados normalmente lo hacen". </w:t>
      </w:r>
      <w:r w:rsidRPr="006E54F0">
        <w:rPr>
          <w:rStyle w:val="Footnote8pt1"/>
          <w:rFonts w:ascii="Times New Roman" w:hAnsi="Times New Roman"/>
          <w:bCs/>
          <w:color w:val="000000"/>
          <w:sz w:val="18"/>
          <w:lang w:val="es-AR" w:eastAsia="es-ES_tradnl"/>
        </w:rPr>
        <w:t>Joy Mining MachineryLimited c. República Árabe de Egipto,</w:t>
      </w:r>
      <w:r w:rsidRPr="006E54F0">
        <w:rPr>
          <w:rStyle w:val="Footnote7pt1"/>
          <w:rFonts w:ascii="Times New Roman" w:hAnsi="Times New Roman"/>
          <w:bCs/>
          <w:color w:val="000000"/>
          <w:sz w:val="18"/>
          <w:lang w:val="es-AR" w:eastAsia="es-ES_tradnl"/>
        </w:rPr>
        <w:t xml:space="preserve"> Caso CIADI No. ARB/03/11, Laudo sobre Jurisdicción, 6 de agosto de 2004, párrs. 44-45 </w:t>
      </w:r>
      <w:r w:rsidRPr="006E54F0">
        <w:rPr>
          <w:rStyle w:val="Footnote7pt"/>
          <w:rFonts w:ascii="Times New Roman" w:hAnsi="Times New Roman"/>
          <w:bCs/>
          <w:color w:val="000000"/>
          <w:sz w:val="18"/>
          <w:lang w:val="es-AR" w:eastAsia="es-ES_tradnl"/>
        </w:rPr>
        <w:t>(RLA-0182) (traducción del Tribunal).</w:t>
      </w:r>
    </w:p>
  </w:footnote>
  <w:footnote w:id="335">
    <w:p w14:paraId="0398F0B8"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Segundo informe de Reisman, párr. 112 (CER-13).</w:t>
      </w:r>
    </w:p>
  </w:footnote>
  <w:footnote w:id="336">
    <w:p w14:paraId="1D5771E7"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Mavrommatis Palestine Concessions (Grecia c. Reino Unido)</w:t>
      </w:r>
      <w:r w:rsidRPr="006E54F0">
        <w:rPr>
          <w:rStyle w:val="Footnote7pt1"/>
          <w:rFonts w:ascii="Times New Roman" w:hAnsi="Times New Roman"/>
          <w:bCs/>
          <w:color w:val="000000"/>
          <w:sz w:val="18"/>
          <w:lang w:val="es-AR" w:eastAsia="es-ES_tradnl"/>
        </w:rPr>
        <w:t xml:space="preserve"> [1924] Serie Ade la CPJI No. 2, 30 de agosto de 1924, pág. 11 </w:t>
      </w:r>
      <w:r w:rsidRPr="006E54F0">
        <w:rPr>
          <w:rStyle w:val="Footnote7pt"/>
          <w:rFonts w:ascii="Times New Roman" w:hAnsi="Times New Roman"/>
          <w:bCs/>
          <w:color w:val="000000"/>
          <w:sz w:val="18"/>
          <w:lang w:val="es-AR" w:eastAsia="es-ES_tradnl"/>
        </w:rPr>
        <w:t>(CLA-0262) (traducción del Tribunal).</w:t>
      </w:r>
    </w:p>
  </w:footnote>
  <w:footnote w:id="337">
    <w:p w14:paraId="3EB96117"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Emilio Agustin Maffezinic. Reino de España,</w:t>
      </w:r>
      <w:r w:rsidRPr="006E54F0">
        <w:rPr>
          <w:rStyle w:val="Footnote7pt1"/>
          <w:rFonts w:ascii="Times New Roman" w:hAnsi="Times New Roman"/>
          <w:bCs/>
          <w:color w:val="000000"/>
          <w:sz w:val="18"/>
          <w:lang w:val="es-AR" w:eastAsia="es-ES_tradnl"/>
        </w:rPr>
        <w:t xml:space="preserve"> Caso CIADI No. ARB/97/7, Decisión del Tribunal sobre Objeciones a la Jurisdicción, 25 de enero de 2000, párr. 96 </w:t>
      </w:r>
      <w:r w:rsidRPr="006E54F0">
        <w:rPr>
          <w:rStyle w:val="Footnote7pt"/>
          <w:rFonts w:ascii="Times New Roman" w:hAnsi="Times New Roman"/>
          <w:bCs/>
          <w:color w:val="000000"/>
          <w:sz w:val="18"/>
          <w:lang w:val="es-AR" w:eastAsia="es-ES_tradnl"/>
        </w:rPr>
        <w:t>(CLA-0068) (traducción del Tribunal).</w:t>
      </w:r>
    </w:p>
  </w:footnote>
  <w:footnote w:id="338">
    <w:p w14:paraId="68CE95B5"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 xml:space="preserve">El tribunal llegó a esta conclusión después de considerar, además de la definición de </w:t>
      </w:r>
      <w:r w:rsidRPr="006E54F0">
        <w:rPr>
          <w:rStyle w:val="Bodytext210pt"/>
          <w:rFonts w:eastAsia="Calibri"/>
          <w:bCs/>
          <w:color w:val="000000"/>
          <w:sz w:val="18"/>
          <w:lang w:val="es-AR" w:eastAsia="es-ES_tradnl"/>
        </w:rPr>
        <w:t>Mavrommatis,</w:t>
      </w:r>
      <w:r w:rsidRPr="006E54F0">
        <w:rPr>
          <w:rStyle w:val="Footnote7pt"/>
          <w:rFonts w:ascii="Times New Roman" w:hAnsi="Times New Roman"/>
          <w:bCs/>
          <w:color w:val="000000"/>
          <w:sz w:val="18"/>
          <w:lang w:val="es-AR" w:eastAsia="es-ES_tradnl"/>
        </w:rPr>
        <w:t xml:space="preserve"> conceptos similares de controversia utilizados por la Corte Internacional de Justicia en la Opinión consultiva sobre la </w:t>
      </w:r>
      <w:r w:rsidRPr="006E54F0">
        <w:rPr>
          <w:rStyle w:val="Bodytext210pt"/>
          <w:rFonts w:eastAsia="Calibri"/>
          <w:bCs/>
          <w:color w:val="000000"/>
          <w:sz w:val="18"/>
          <w:lang w:val="es-AR" w:eastAsia="es-ES_tradnl"/>
        </w:rPr>
        <w:t>Interpretación de los Tratados de Paz entre Bulgaria, HungríayRumania</w:t>
      </w:r>
      <w:r w:rsidRPr="006E54F0">
        <w:rPr>
          <w:rStyle w:val="Footnote7pt"/>
          <w:rFonts w:ascii="Times New Roman" w:hAnsi="Times New Roman"/>
          <w:bCs/>
          <w:color w:val="000000"/>
          <w:sz w:val="18"/>
          <w:lang w:val="es-AR" w:eastAsia="es-ES_tradnl"/>
        </w:rPr>
        <w:t xml:space="preserve"> ('"situación en que dos partes sostienen posiciones claramente opuestas con respecto a la cuestión del cumplimiento o incumplimiento de una obligación jurídica") y en la Sentencia sobre Objeciones Preliminares en el caso de </w:t>
      </w:r>
      <w:r w:rsidRPr="006E54F0">
        <w:rPr>
          <w:rStyle w:val="Bodytext210pt"/>
          <w:rFonts w:eastAsia="Calibri"/>
          <w:bCs/>
          <w:color w:val="000000"/>
          <w:sz w:val="18"/>
          <w:lang w:val="es-AR" w:eastAsia="es-ES_tradnl"/>
        </w:rPr>
        <w:t xml:space="preserve">South WestAfrica Sudoccidental </w:t>
      </w:r>
      <w:r w:rsidRPr="006E54F0">
        <w:rPr>
          <w:rStyle w:val="Footnote7pt"/>
          <w:rFonts w:ascii="Times New Roman" w:hAnsi="Times New Roman"/>
          <w:bCs/>
          <w:color w:val="000000"/>
          <w:sz w:val="18"/>
          <w:lang w:val="es-AR" w:eastAsia="es-ES_tradnl"/>
        </w:rPr>
        <w:t xml:space="preserve">("la reclamación de una parte se opone positivamente a la de la otra".) </w:t>
      </w:r>
      <w:r w:rsidRPr="006E54F0">
        <w:rPr>
          <w:rStyle w:val="Footnote8pt1"/>
          <w:rFonts w:ascii="Times New Roman" w:hAnsi="Times New Roman"/>
          <w:bCs/>
          <w:color w:val="000000"/>
          <w:sz w:val="18"/>
          <w:lang w:val="es-AR" w:eastAsia="es-ES_tradnl"/>
        </w:rPr>
        <w:t xml:space="preserve">Empresas Lucchetti, S.A. yLucchettiPeru, S.A. c. República del Perú, </w:t>
      </w:r>
      <w:r w:rsidRPr="006E54F0">
        <w:rPr>
          <w:rStyle w:val="Footnote7pt1"/>
          <w:rFonts w:ascii="Times New Roman" w:hAnsi="Times New Roman"/>
          <w:bCs/>
          <w:color w:val="000000"/>
          <w:sz w:val="18"/>
          <w:lang w:val="es-AR" w:eastAsia="es-ES_tradnl"/>
        </w:rPr>
        <w:t xml:space="preserve">Caso CIADI No. ARB/03/4, Laudo, 7 de febrero de 2005, párr. 48 </w:t>
      </w:r>
      <w:r w:rsidRPr="006E54F0">
        <w:rPr>
          <w:rStyle w:val="Footnote7pt"/>
          <w:rFonts w:ascii="Times New Roman" w:hAnsi="Times New Roman"/>
          <w:bCs/>
          <w:color w:val="000000"/>
          <w:sz w:val="18"/>
          <w:lang w:val="es-AR" w:eastAsia="es-ES_tradnl"/>
        </w:rPr>
        <w:t>(RLA-0184).</w:t>
      </w:r>
    </w:p>
  </w:footnote>
  <w:footnote w:id="339">
    <w:p w14:paraId="58521F3D"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Id.</w:t>
      </w:r>
      <w:r w:rsidRPr="006E54F0">
        <w:rPr>
          <w:rStyle w:val="Footnote7pt1"/>
          <w:rFonts w:ascii="Times New Roman" w:hAnsi="Times New Roman"/>
          <w:bCs/>
          <w:color w:val="000000"/>
          <w:sz w:val="18"/>
          <w:lang w:val="es-AR" w:eastAsia="es-ES_tradnl"/>
        </w:rPr>
        <w:t xml:space="preserve"> en 59.</w:t>
      </w:r>
    </w:p>
  </w:footnote>
  <w:footnote w:id="340">
    <w:p w14:paraId="618542DF"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EuroGas Inc. y Belmont Resources Inc. c. República Eslovaca,</w:t>
      </w:r>
      <w:r w:rsidRPr="006E54F0">
        <w:rPr>
          <w:rStyle w:val="Footnote7pt1"/>
          <w:rFonts w:ascii="Times New Roman" w:hAnsi="Times New Roman"/>
          <w:bCs/>
          <w:color w:val="000000"/>
          <w:sz w:val="18"/>
          <w:lang w:val="es-AR" w:eastAsia="es-ES_tradnl"/>
        </w:rPr>
        <w:t xml:space="preserve"> Caso CIADI No. ARB/14/14, Opinión disidente del profesor Emmanuel Gaillard, 26 de julio de 2017, párr. 6 </w:t>
      </w:r>
      <w:r w:rsidRPr="006E54F0">
        <w:rPr>
          <w:rStyle w:val="Footnote7pt"/>
          <w:rFonts w:ascii="Times New Roman" w:hAnsi="Times New Roman"/>
          <w:bCs/>
          <w:color w:val="000000"/>
          <w:sz w:val="18"/>
          <w:lang w:val="es-AR" w:eastAsia="es-ES_tradnl"/>
        </w:rPr>
        <w:t>(CLA-0265) (traducción del Tribunal).</w:t>
      </w:r>
    </w:p>
  </w:footnote>
  <w:footnote w:id="341">
    <w:p w14:paraId="50634B70"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EuroGas Inc. y Belmont Resources Inc.c. República Eslovaca,</w:t>
      </w:r>
      <w:r w:rsidRPr="006E54F0">
        <w:rPr>
          <w:rStyle w:val="Footnote7pt1"/>
          <w:rFonts w:ascii="Times New Roman" w:hAnsi="Times New Roman"/>
          <w:bCs/>
          <w:color w:val="000000"/>
          <w:sz w:val="18"/>
          <w:lang w:val="es-AR" w:eastAsia="es-ES_tradnl"/>
        </w:rPr>
        <w:t xml:space="preserve"> Caso CIADI No. ARB/14/14, Laudo, 18 de agosto de 2017, párr. 437 </w:t>
      </w:r>
      <w:r w:rsidRPr="006E54F0">
        <w:rPr>
          <w:rStyle w:val="Footnote7pt"/>
          <w:rFonts w:ascii="Times New Roman" w:hAnsi="Times New Roman"/>
          <w:bCs/>
          <w:color w:val="000000"/>
          <w:sz w:val="18"/>
          <w:lang w:val="es-AR" w:eastAsia="es-ES_tradnl"/>
        </w:rPr>
        <w:t>(traducción del Tribunal).</w:t>
      </w:r>
    </w:p>
  </w:footnote>
  <w:footnote w:id="342">
    <w:p w14:paraId="0C51ED25"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Dúplica (Jurisdicción), párr. 139.</w:t>
      </w:r>
    </w:p>
  </w:footnote>
  <w:footnote w:id="343">
    <w:p w14:paraId="3E0355AB"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Dúplica (Jurisdicción), párr. 143</w:t>
      </w:r>
    </w:p>
  </w:footnote>
  <w:footnote w:id="344">
    <w:p w14:paraId="20FA67ED"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Dúplica (Jurisdicción), párr. 132.</w:t>
      </w:r>
    </w:p>
  </w:footnote>
  <w:footnote w:id="345">
    <w:p w14:paraId="4171AAAA"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Como parte de la excepción por hecho continuo, los Demandantes han sostenido que "el Tribunal tiene jurisdicción, y los Demandantes tienen legitimación, en lo que respecta a la toda la parte de esta controversia referida a la Ley Minera Aratiri (desde la publicación de su proyecto hasta su sanción y aplicación antes del 1° de agosto de 2016), incluso si el Tribunal concluyera (erróneamente, en opinión de los Demandantes) que el 1° de agosto de 2016 es una fecha esencial a los efectos de la jurisdicción o la legitimación". (Escrito de Contestación (Jurisdicción), párr. 127 (énfasis del Tribunal)).</w:t>
      </w:r>
    </w:p>
  </w:footnote>
  <w:footnote w:id="346">
    <w:p w14:paraId="40AD251B"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Escrito de Demanda, párr. 398; Escrito de Contestación (Fondo), párr. 312; Primera declaración de Agarwal, párr. 119 (CWS-1) Primera declaración de Chulepin, párr. 107 (CWS-3).</w:t>
      </w:r>
    </w:p>
  </w:footnote>
  <w:footnote w:id="347">
    <w:p w14:paraId="4D75657C"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Informe de Carlos Roselló en expediente no. 2016-8-1-000148, 31 de marzo de 2016 (C-0199).</w:t>
      </w:r>
    </w:p>
  </w:footnote>
  <w:footnote w:id="348">
    <w:p w14:paraId="2BC3165F"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 xml:space="preserve">Código de Minería Modificado, arts. 7, 23 (C-0236). </w:t>
      </w:r>
      <w:r w:rsidRPr="006E54F0">
        <w:rPr>
          <w:rStyle w:val="Bodytext210pt"/>
          <w:rFonts w:eastAsia="Calibri"/>
          <w:bCs/>
          <w:color w:val="000000"/>
          <w:sz w:val="18"/>
          <w:lang w:val="es-AR" w:eastAsia="es-ES_tradnl"/>
        </w:rPr>
        <w:t>Véase también LeyNo. 15.242, Código deMinería,</w:t>
      </w:r>
      <w:r w:rsidRPr="006E54F0">
        <w:rPr>
          <w:rStyle w:val="Footnote7pt"/>
          <w:rFonts w:ascii="Times New Roman" w:hAnsi="Times New Roman"/>
          <w:bCs/>
          <w:color w:val="000000"/>
          <w:sz w:val="18"/>
          <w:lang w:val="es-AR" w:eastAsia="es-ES_tradnl"/>
        </w:rPr>
        <w:t xml:space="preserve"> 8 de enero de 1982, art. 23 (C-0048).</w:t>
      </w:r>
    </w:p>
  </w:footnote>
  <w:footnote w:id="349">
    <w:p w14:paraId="763E098F"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Ley de Minería de Gran Porte, art. 24, inciso C (C-0151).</w:t>
      </w:r>
    </w:p>
  </w:footnote>
  <w:footnote w:id="350">
    <w:p w14:paraId="4501A4FD"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Ministerio de Industria, Energía, y Minería (MIEM), Resolución del 28 de junio de 2016 (C-0192). El Tribunal observa que este documento, tal como fue suministrado por los Demandantes, está incompleto.</w:t>
      </w:r>
    </w:p>
  </w:footnote>
  <w:footnote w:id="351">
    <w:p w14:paraId="6B23696E"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Ministerio de Industria, Energía, y Minería (MIEM), Resolución del 28 de junio de 2016 (C-0192); Informe de Carlos Roselló en expediente No. 2016-8-1-0000075, 26 de mayo de 2016 (C-0203); Ley de Minería de Gran Porte, arts. 37-38 (C-0151).</w:t>
      </w:r>
    </w:p>
  </w:footnote>
  <w:footnote w:id="352">
    <w:p w14:paraId="489093E7"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Réplica (Fondo), párrs. 609, 614.</w:t>
      </w:r>
    </w:p>
  </w:footnote>
  <w:footnote w:id="353">
    <w:p w14:paraId="6D86D0F8"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Escrito de Contestación (Fondo), párrs. 318-319.</w:t>
      </w:r>
    </w:p>
  </w:footnote>
  <w:footnote w:id="354">
    <w:p w14:paraId="680BA1F1"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Escrito de Demanda, párrs. 415, 418; Réplica (Fondo), párrs. 608, 613, 615.</w:t>
      </w:r>
    </w:p>
  </w:footnote>
  <w:footnote w:id="355">
    <w:p w14:paraId="21509177"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Escrito de Contestación (Fondo), párrs. 313, 315, 325, 332; Dúplica (Fondo), párr. 357; Primera declaración testimonial de Fernanda Cardona, 13 de diciembre de 2018, párr. 28 (RWS-2); Primer informe pericial de James M. Otto, 5 de diciembre de 2018, párr. 181 (RER-2).</w:t>
      </w:r>
    </w:p>
  </w:footnote>
  <w:footnote w:id="356">
    <w:p w14:paraId="2AE93FD3"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Escrito de Contestación (Fondo), párrs. 320-332; Réplica (Fondo), párrs. 616-627; Dúplica (Fondo), párrs. 358-369.</w:t>
      </w:r>
    </w:p>
  </w:footnote>
  <w:footnote w:id="357">
    <w:p w14:paraId="514240F7"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Resolución No. 667/016 (C-0202).</w:t>
      </w:r>
    </w:p>
  </w:footnote>
  <w:footnote w:id="358">
    <w:p w14:paraId="75C33039"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"surgir", Diccionario de la Real Academia Española.</w:t>
      </w:r>
    </w:p>
  </w:footnote>
  <w:footnote w:id="359">
    <w:p w14:paraId="5C1DFB82" w14:textId="77777777" w:rsidR="003468CF" w:rsidRPr="006E54F0" w:rsidRDefault="003468CF" w:rsidP="0066401B">
      <w:pPr>
        <w:pStyle w:val="Footnote30"/>
        <w:shd w:val="clear" w:color="auto" w:fill="auto"/>
        <w:tabs>
          <w:tab w:val="left" w:pos="284"/>
        </w:tabs>
        <w:spacing w:before="180" w:line="240" w:lineRule="auto"/>
        <w:jc w:val="both"/>
        <w:rPr>
          <w:rFonts w:ascii="Times New Roman" w:hAnsi="Times New Roman"/>
          <w:b w:val="0"/>
          <w:sz w:val="18"/>
          <w:lang w:val="es-AR"/>
        </w:rPr>
      </w:pPr>
      <w:r w:rsidRPr="006E54F0">
        <w:rPr>
          <w:rStyle w:val="Bodytext316pt"/>
          <w:rFonts w:ascii="Times New Roman" w:eastAsia="Calibri" w:hAnsi="Times New Roman"/>
          <w:b w:val="0"/>
          <w:bCs w:val="0"/>
          <w:iCs/>
          <w:smallCaps w:val="0"/>
          <w:color w:val="000000"/>
          <w:sz w:val="18"/>
          <w:vertAlign w:val="superscript"/>
          <w:lang w:eastAsia="es-ES_tradnl"/>
        </w:rPr>
        <w:footnoteRef/>
      </w:r>
      <w:r w:rsidRPr="006E54F0">
        <w:rPr>
          <w:rStyle w:val="Bodytext316pt"/>
          <w:rFonts w:ascii="Times New Roman" w:eastAsia="Calibri" w:hAnsi="Times New Roman"/>
          <w:b w:val="0"/>
          <w:bCs w:val="0"/>
          <w:i/>
          <w:iCs/>
          <w:smallCaps w:val="0"/>
          <w:color w:val="000000"/>
          <w:sz w:val="18"/>
          <w:lang w:eastAsia="es-ES_tradnl"/>
        </w:rPr>
        <w:tab/>
      </w:r>
      <w:r w:rsidRPr="006E54F0">
        <w:rPr>
          <w:rStyle w:val="Footnote38pt1"/>
          <w:rFonts w:ascii="Times New Roman" w:hAnsi="Times New Roman"/>
          <w:bCs/>
          <w:i/>
          <w:iCs/>
          <w:color w:val="000000"/>
          <w:sz w:val="18"/>
          <w:lang w:eastAsia="es-ES_tradnl"/>
        </w:rPr>
        <w:t>Ping An Life Insurance Company of China, Limited y Ping An Insurance (Group) of China, Limited c. Reino de Bélgica,</w:t>
      </w:r>
      <w:r w:rsidRPr="006E54F0">
        <w:rPr>
          <w:rStyle w:val="Footnote37pt1"/>
          <w:rFonts w:ascii="Times New Roman" w:hAnsi="Times New Roman"/>
          <w:bCs/>
          <w:color w:val="000000"/>
          <w:sz w:val="18"/>
          <w:lang w:eastAsia="es-ES_tradnl"/>
        </w:rPr>
        <w:t xml:space="preserve"> Caso CIADI No. </w:t>
      </w:r>
      <w:r w:rsidRPr="006E54F0">
        <w:rPr>
          <w:rStyle w:val="Footnote37pt1"/>
          <w:rFonts w:ascii="Times New Roman" w:hAnsi="Times New Roman"/>
          <w:bCs/>
          <w:color w:val="000000"/>
          <w:sz w:val="18"/>
          <w:lang w:val="es-AR" w:eastAsia="es-ES_tradnl"/>
        </w:rPr>
        <w:t xml:space="preserve">ARB/12/29, Laudo, 30 de abril de 2015, párr. 224 </w:t>
      </w:r>
      <w:r w:rsidRPr="006E54F0">
        <w:rPr>
          <w:rStyle w:val="Bodytext316pt"/>
          <w:rFonts w:ascii="Times New Roman" w:eastAsia="Calibri" w:hAnsi="Times New Roman"/>
          <w:b w:val="0"/>
          <w:bCs w:val="0"/>
          <w:iCs/>
          <w:smallCaps w:val="0"/>
          <w:color w:val="000000"/>
          <w:sz w:val="18"/>
          <w:lang w:val="es-AR" w:eastAsia="es-ES_tradnl"/>
        </w:rPr>
        <w:t>(RLA-0221) (traducción del Tribunal).</w:t>
      </w:r>
    </w:p>
  </w:footnote>
  <w:footnote w:id="360">
    <w:p w14:paraId="05468D5C"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M.C.I. Power Group, L.C. y New Turbine, Inc. c. República de Ecuador,</w:t>
      </w:r>
      <w:r w:rsidRPr="006E54F0">
        <w:rPr>
          <w:rStyle w:val="Footnote7pt1"/>
          <w:rFonts w:ascii="Times New Roman" w:hAnsi="Times New Roman"/>
          <w:bCs/>
          <w:color w:val="000000"/>
          <w:sz w:val="18"/>
          <w:lang w:val="es-AR" w:eastAsia="es-ES_tradnl"/>
        </w:rPr>
        <w:t xml:space="preserve"> Caso CIADI No. ARB/03/6, Laudo, 31 de julio de 2007, párr. 61 </w:t>
      </w:r>
      <w:r w:rsidRPr="006E54F0">
        <w:rPr>
          <w:rStyle w:val="Footnote7pt"/>
          <w:rFonts w:ascii="Times New Roman" w:hAnsi="Times New Roman"/>
          <w:bCs/>
          <w:color w:val="000000"/>
          <w:sz w:val="18"/>
          <w:lang w:val="es-AR" w:eastAsia="es-ES_tradnl"/>
        </w:rPr>
        <w:t>(RLA-0192).</w:t>
      </w:r>
    </w:p>
  </w:footnote>
  <w:footnote w:id="361">
    <w:p w14:paraId="7EA9C1CF"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Impregilo S.p.A. c. República Islámica de Pakistán,</w:t>
      </w:r>
      <w:r w:rsidRPr="006E54F0">
        <w:rPr>
          <w:rStyle w:val="Footnote7pt1"/>
          <w:rFonts w:ascii="Times New Roman" w:hAnsi="Times New Roman"/>
          <w:bCs/>
          <w:color w:val="000000"/>
          <w:sz w:val="18"/>
          <w:lang w:val="es-AR" w:eastAsia="es-ES_tradnl"/>
        </w:rPr>
        <w:t xml:space="preserve"> Caso CIADI No. ARB/03/3, Decisión sobre Jurisdicción, 22 de abril de 2005, párrs. 299-300 </w:t>
      </w:r>
      <w:r w:rsidRPr="006E54F0">
        <w:rPr>
          <w:rStyle w:val="Footnote7pt"/>
          <w:rFonts w:ascii="Times New Roman" w:hAnsi="Times New Roman"/>
          <w:bCs/>
          <w:color w:val="000000"/>
          <w:sz w:val="18"/>
          <w:lang w:val="es-AR" w:eastAsia="es-ES_tradnl"/>
        </w:rPr>
        <w:t>(RLA-0185) (traducción del Tribunal).</w:t>
      </w:r>
    </w:p>
  </w:footnote>
  <w:footnote w:id="362">
    <w:p w14:paraId="517D15AA"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Réplica (Jurisdicción), párr. 182.</w:t>
      </w:r>
    </w:p>
  </w:footnote>
  <w:footnote w:id="363">
    <w:p w14:paraId="46B4F126"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Escrito de Contestación (Jurisdicción), párr. 136.</w:t>
      </w:r>
    </w:p>
  </w:footnote>
  <w:footnote w:id="364">
    <w:p w14:paraId="26942934"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Réplica (Jurisdicción), párr. 186 (énfasis original).</w:t>
      </w:r>
    </w:p>
  </w:footnote>
  <w:footnote w:id="365">
    <w:p w14:paraId="1CFD8709"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Dúplica (Jurisdicción), párr. 150 (énfasis original).</w:t>
      </w:r>
    </w:p>
  </w:footnote>
  <w:footnote w:id="366">
    <w:p w14:paraId="45322143"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Pac Rim Cayman LLC c. República de El Salvador,</w:t>
      </w:r>
      <w:r w:rsidRPr="006E54F0">
        <w:rPr>
          <w:rStyle w:val="Footnote7pt1"/>
          <w:rFonts w:ascii="Times New Roman" w:hAnsi="Times New Roman"/>
          <w:bCs/>
          <w:color w:val="000000"/>
          <w:sz w:val="18"/>
          <w:lang w:val="es-AR" w:eastAsia="es-ES_tradnl"/>
        </w:rPr>
        <w:t xml:space="preserve"> Caso CIADI No. ARB/09/12, Decisión sobre las objeciones jurisdiccionales de la Demandada, 1 de junio de 2012, párr. 2.73 </w:t>
      </w:r>
      <w:r w:rsidRPr="006E54F0">
        <w:rPr>
          <w:rStyle w:val="Footnote7pt"/>
          <w:rFonts w:ascii="Times New Roman" w:hAnsi="Times New Roman"/>
          <w:bCs/>
          <w:color w:val="000000"/>
          <w:sz w:val="18"/>
          <w:lang w:val="es-AR" w:eastAsia="es-ES_tradnl"/>
        </w:rPr>
        <w:t>(RLA-105) (traducción del Tribunal).</w:t>
      </w:r>
    </w:p>
  </w:footnote>
  <w:footnote w:id="367">
    <w:p w14:paraId="2F32DBA3"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Mondev International LTD c. Estados Unidos de América,</w:t>
      </w:r>
      <w:r w:rsidRPr="006E54F0">
        <w:rPr>
          <w:rStyle w:val="Footnote7pt1"/>
          <w:rFonts w:ascii="Times New Roman" w:hAnsi="Times New Roman"/>
          <w:bCs/>
          <w:color w:val="000000"/>
          <w:sz w:val="18"/>
          <w:lang w:val="es-AR" w:eastAsia="es-ES_tradnl"/>
        </w:rPr>
        <w:t xml:space="preserve"> Caso CIADI No. ARB(AF)/99/2, Laudo, 11 de octubre de 2002, párr. 68 </w:t>
      </w:r>
      <w:r w:rsidRPr="006E54F0">
        <w:rPr>
          <w:rStyle w:val="Footnote7pt"/>
          <w:rFonts w:ascii="Times New Roman" w:hAnsi="Times New Roman"/>
          <w:bCs/>
          <w:color w:val="000000"/>
          <w:sz w:val="18"/>
          <w:lang w:val="es-AR" w:eastAsia="es-ES_tradnl"/>
        </w:rPr>
        <w:t>(RLA-0030) (traducción del Tribunal).</w:t>
      </w:r>
    </w:p>
  </w:footnote>
  <w:footnote w:id="368">
    <w:p w14:paraId="4D20BCF4"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Id.</w:t>
      </w:r>
      <w:r w:rsidRPr="006E54F0">
        <w:rPr>
          <w:rStyle w:val="Footnote7pt1"/>
          <w:rFonts w:ascii="Times New Roman" w:hAnsi="Times New Roman"/>
          <w:bCs/>
          <w:color w:val="000000"/>
          <w:sz w:val="18"/>
          <w:lang w:val="es-AR" w:eastAsia="es-ES_tradnl"/>
        </w:rPr>
        <w:t xml:space="preserve"> en párr. 70 </w:t>
      </w:r>
      <w:r w:rsidRPr="006E54F0">
        <w:rPr>
          <w:rStyle w:val="Footnote7pt"/>
          <w:rFonts w:ascii="Times New Roman" w:hAnsi="Times New Roman"/>
          <w:bCs/>
          <w:color w:val="000000"/>
          <w:sz w:val="18"/>
          <w:lang w:val="es-AR" w:eastAsia="es-ES_tradnl"/>
        </w:rPr>
        <w:t>(traducción y énfasis del Tribunal).</w:t>
      </w:r>
    </w:p>
  </w:footnote>
  <w:footnote w:id="369">
    <w:p w14:paraId="7BFDB414" w14:textId="77777777" w:rsidR="003468CF" w:rsidRPr="006E54F0" w:rsidRDefault="003468CF" w:rsidP="0066401B">
      <w:pPr>
        <w:pStyle w:val="Footnote0"/>
        <w:shd w:val="clear" w:color="auto" w:fill="auto"/>
        <w:tabs>
          <w:tab w:val="left" w:pos="284"/>
        </w:tabs>
        <w:spacing w:before="180" w:line="240" w:lineRule="auto"/>
        <w:jc w:val="both"/>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r>
      <w:r w:rsidRPr="006E54F0">
        <w:rPr>
          <w:rStyle w:val="Footnote8pt1"/>
          <w:rFonts w:ascii="Times New Roman" w:hAnsi="Times New Roman"/>
          <w:bCs/>
          <w:color w:val="000000"/>
          <w:sz w:val="18"/>
          <w:lang w:val="es-AR" w:eastAsia="es-ES_tradnl"/>
        </w:rPr>
        <w:t>M.C.I. Power Group, L.C. y New Turbine, Inc. c. República del Ecuador,</w:t>
      </w:r>
      <w:r w:rsidRPr="006E54F0">
        <w:rPr>
          <w:rStyle w:val="Footnote7pt1"/>
          <w:rFonts w:ascii="Times New Roman" w:hAnsi="Times New Roman"/>
          <w:bCs/>
          <w:color w:val="000000"/>
          <w:sz w:val="18"/>
          <w:lang w:val="es-AR" w:eastAsia="es-ES_tradnl"/>
        </w:rPr>
        <w:t xml:space="preserve"> Caso CIADI No. ARB/03/6, Laudo, 31 de julio de 2007, párr. 93 </w:t>
      </w:r>
      <w:r w:rsidRPr="006E54F0">
        <w:rPr>
          <w:rStyle w:val="Footnote7pt"/>
          <w:rFonts w:ascii="Times New Roman" w:hAnsi="Times New Roman"/>
          <w:bCs/>
          <w:color w:val="000000"/>
          <w:sz w:val="18"/>
          <w:lang w:val="es-AR" w:eastAsia="es-ES_tradnl"/>
        </w:rPr>
        <w:t>(RLA-0192).</w:t>
      </w:r>
    </w:p>
  </w:footnote>
  <w:footnote w:id="370">
    <w:p w14:paraId="4EF2627E"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Tr. audiencia, día 15, 3670:12-18 (interpretado del inglés).</w:t>
      </w:r>
    </w:p>
  </w:footnote>
  <w:footnote w:id="371">
    <w:p w14:paraId="43B96619"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lang w:val="es-AR"/>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val="es-AR" w:eastAsia="es-ES_tradnl"/>
        </w:rPr>
        <w:tab/>
        <w:t>Tr. audiencia, día 15, 3824:15-3825:1 (interpretado del inglés).</w:t>
      </w:r>
    </w:p>
  </w:footnote>
  <w:footnote w:id="372">
    <w:p w14:paraId="3A8E9D42" w14:textId="77777777" w:rsidR="003468CF" w:rsidRPr="006E54F0" w:rsidRDefault="003468CF" w:rsidP="0066401B">
      <w:pPr>
        <w:pStyle w:val="Footnote0"/>
        <w:shd w:val="clear" w:color="auto" w:fill="auto"/>
        <w:tabs>
          <w:tab w:val="left" w:pos="284"/>
        </w:tabs>
        <w:spacing w:before="180" w:line="240" w:lineRule="auto"/>
        <w:rPr>
          <w:rFonts w:ascii="Times New Roman" w:hAnsi="Times New Roman"/>
          <w:b w:val="0"/>
          <w:sz w:val="18"/>
        </w:rPr>
      </w:pPr>
      <w:r w:rsidRPr="006E54F0">
        <w:rPr>
          <w:rStyle w:val="Footnote7pt"/>
          <w:rFonts w:ascii="Times New Roman" w:hAnsi="Times New Roman"/>
          <w:bCs/>
          <w:color w:val="000000"/>
          <w:sz w:val="18"/>
          <w:vertAlign w:val="superscript"/>
          <w:lang w:eastAsia="es-ES_tradnl"/>
        </w:rPr>
        <w:footnoteRef/>
      </w:r>
      <w:r w:rsidRPr="006E54F0">
        <w:rPr>
          <w:rStyle w:val="Footnote7pt"/>
          <w:rFonts w:ascii="Times New Roman" w:hAnsi="Times New Roman"/>
          <w:bCs/>
          <w:color w:val="000000"/>
          <w:sz w:val="18"/>
          <w:lang w:eastAsia="es-ES_tradnl"/>
        </w:rPr>
        <w:tab/>
        <w:t>Tr., audiencia, día 15, 3951:5-3952:10.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8"/>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1">
      <w:start w:val="18"/>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2">
      <w:start w:val="18"/>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3">
      <w:start w:val="18"/>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4">
      <w:start w:val="18"/>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5">
      <w:start w:val="18"/>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6">
      <w:start w:val="18"/>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7">
      <w:start w:val="18"/>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8">
      <w:start w:val="18"/>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abstractNum>
  <w:abstractNum w:abstractNumId="1" w15:restartNumberingAfterBreak="0">
    <w:nsid w:val="00000003"/>
    <w:multiLevelType w:val="multilevel"/>
    <w:tmpl w:val="00000002"/>
    <w:lvl w:ilvl="0">
      <w:start w:val="29"/>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1">
      <w:start w:val="29"/>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2">
      <w:start w:val="29"/>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3">
      <w:start w:val="29"/>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4">
      <w:start w:val="29"/>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5">
      <w:start w:val="29"/>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6">
      <w:start w:val="29"/>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7">
      <w:start w:val="29"/>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lvl w:ilvl="8">
      <w:start w:val="29"/>
      <w:numFmt w:val="decimal"/>
      <w:lvlText w:val="%1"/>
      <w:lvlJc w:val="left"/>
      <w:rPr>
        <w:rFonts w:ascii="Palatino Linotype" w:hAnsi="Palatino Linotype" w:cs="Palatino Linotype"/>
        <w:b/>
        <w:bCs/>
        <w:i w:val="0"/>
        <w:iCs w:val="0"/>
        <w:smallCaps w:val="0"/>
        <w:strike w:val="0"/>
        <w:color w:val="000000"/>
        <w:spacing w:val="0"/>
        <w:w w:val="100"/>
        <w:position w:val="0"/>
        <w:sz w:val="15"/>
        <w:szCs w:val="15"/>
        <w:u w:val="none"/>
      </w:rPr>
    </w:lvl>
  </w:abstractNum>
  <w:abstractNum w:abstractNumId="2" w15:restartNumberingAfterBreak="0">
    <w:nsid w:val="00000013"/>
    <w:multiLevelType w:val="multilevel"/>
    <w:tmpl w:val="01C40F1E"/>
    <w:lvl w:ilvl="0">
      <w:start w:val="28"/>
      <w:numFmt w:val="decimal"/>
      <w:lvlText w:val="%1."/>
      <w:lvlJc w:val="left"/>
      <w:pPr>
        <w:ind w:left="0" w:firstLine="0"/>
      </w:pPr>
      <w:rPr>
        <w:rFonts w:ascii="Palatino Linotype" w:hAnsi="Palatino Linotype" w:cs="Palatino Linotype" w:hint="default"/>
        <w:b w:val="0"/>
        <w:bCs w:val="0"/>
        <w:i w:val="0"/>
        <w:iCs w:val="0"/>
        <w:smallCaps w:val="0"/>
        <w:strike w:val="0"/>
        <w:color w:val="000000"/>
        <w:spacing w:val="0"/>
        <w:w w:val="100"/>
        <w:position w:val="0"/>
        <w:sz w:val="19"/>
        <w:szCs w:val="19"/>
        <w:u w:val="none"/>
      </w:rPr>
    </w:lvl>
    <w:lvl w:ilvl="1">
      <w:start w:val="1"/>
      <w:numFmt w:val="decimal"/>
      <w:lvlText w:val="%1."/>
      <w:lvlJc w:val="left"/>
      <w:pPr>
        <w:ind w:left="0" w:firstLine="0"/>
      </w:pPr>
      <w:rPr>
        <w:rFonts w:ascii="Palatino Linotype" w:hAnsi="Palatino Linotype" w:cs="Palatino Linotype" w:hint="default"/>
        <w:b w:val="0"/>
        <w:bCs w:val="0"/>
        <w:i w:val="0"/>
        <w:iCs w:val="0"/>
        <w:smallCaps w:val="0"/>
        <w:strike w:val="0"/>
        <w:color w:val="000000"/>
        <w:spacing w:val="0"/>
        <w:w w:val="100"/>
        <w:position w:val="0"/>
        <w:sz w:val="19"/>
        <w:szCs w:val="19"/>
        <w:u w:val="none"/>
      </w:rPr>
    </w:lvl>
    <w:lvl w:ilvl="2">
      <w:start w:val="1"/>
      <w:numFmt w:val="decimal"/>
      <w:lvlText w:val="%1."/>
      <w:lvlJc w:val="left"/>
      <w:pPr>
        <w:ind w:left="0" w:firstLine="0"/>
      </w:pPr>
      <w:rPr>
        <w:rFonts w:ascii="Palatino Linotype" w:hAnsi="Palatino Linotype" w:cs="Palatino Linotype" w:hint="default"/>
        <w:b w:val="0"/>
        <w:bCs w:val="0"/>
        <w:i w:val="0"/>
        <w:iCs w:val="0"/>
        <w:smallCaps w:val="0"/>
        <w:strike w:val="0"/>
        <w:color w:val="000000"/>
        <w:spacing w:val="0"/>
        <w:w w:val="100"/>
        <w:position w:val="0"/>
        <w:sz w:val="19"/>
        <w:szCs w:val="19"/>
        <w:u w:val="none"/>
      </w:rPr>
    </w:lvl>
    <w:lvl w:ilvl="3">
      <w:start w:val="1"/>
      <w:numFmt w:val="decimal"/>
      <w:lvlText w:val="%1."/>
      <w:lvlJc w:val="left"/>
      <w:pPr>
        <w:ind w:left="0" w:firstLine="0"/>
      </w:pPr>
      <w:rPr>
        <w:rFonts w:ascii="Palatino Linotype" w:hAnsi="Palatino Linotype" w:cs="Palatino Linotype" w:hint="default"/>
        <w:b w:val="0"/>
        <w:bCs w:val="0"/>
        <w:i w:val="0"/>
        <w:iCs w:val="0"/>
        <w:smallCaps w:val="0"/>
        <w:strike w:val="0"/>
        <w:color w:val="000000"/>
        <w:spacing w:val="0"/>
        <w:w w:val="100"/>
        <w:position w:val="0"/>
        <w:sz w:val="19"/>
        <w:szCs w:val="19"/>
        <w:u w:val="none"/>
      </w:rPr>
    </w:lvl>
    <w:lvl w:ilvl="4">
      <w:start w:val="1"/>
      <w:numFmt w:val="decimal"/>
      <w:lvlText w:val="%1."/>
      <w:lvlJc w:val="left"/>
      <w:pPr>
        <w:ind w:left="0" w:firstLine="0"/>
      </w:pPr>
      <w:rPr>
        <w:rFonts w:ascii="Palatino Linotype" w:hAnsi="Palatino Linotype" w:cs="Palatino Linotype" w:hint="default"/>
        <w:b w:val="0"/>
        <w:bCs w:val="0"/>
        <w:i w:val="0"/>
        <w:iCs w:val="0"/>
        <w:smallCaps w:val="0"/>
        <w:strike w:val="0"/>
        <w:color w:val="000000"/>
        <w:spacing w:val="0"/>
        <w:w w:val="100"/>
        <w:position w:val="0"/>
        <w:sz w:val="19"/>
        <w:szCs w:val="19"/>
        <w:u w:val="none"/>
      </w:rPr>
    </w:lvl>
    <w:lvl w:ilvl="5">
      <w:start w:val="1"/>
      <w:numFmt w:val="decimal"/>
      <w:lvlText w:val="%1."/>
      <w:lvlJc w:val="left"/>
      <w:pPr>
        <w:ind w:left="0" w:firstLine="0"/>
      </w:pPr>
      <w:rPr>
        <w:rFonts w:ascii="Palatino Linotype" w:hAnsi="Palatino Linotype" w:cs="Palatino Linotype" w:hint="default"/>
        <w:b w:val="0"/>
        <w:bCs w:val="0"/>
        <w:i w:val="0"/>
        <w:iCs w:val="0"/>
        <w:smallCaps w:val="0"/>
        <w:strike w:val="0"/>
        <w:color w:val="000000"/>
        <w:spacing w:val="0"/>
        <w:w w:val="100"/>
        <w:position w:val="0"/>
        <w:sz w:val="19"/>
        <w:szCs w:val="19"/>
        <w:u w:val="none"/>
      </w:rPr>
    </w:lvl>
    <w:lvl w:ilvl="6">
      <w:start w:val="1"/>
      <w:numFmt w:val="decimal"/>
      <w:lvlText w:val="%1."/>
      <w:lvlJc w:val="left"/>
      <w:pPr>
        <w:ind w:left="0" w:firstLine="0"/>
      </w:pPr>
      <w:rPr>
        <w:rFonts w:ascii="Palatino Linotype" w:hAnsi="Palatino Linotype" w:cs="Palatino Linotype" w:hint="default"/>
        <w:b w:val="0"/>
        <w:bCs w:val="0"/>
        <w:i w:val="0"/>
        <w:iCs w:val="0"/>
        <w:smallCaps w:val="0"/>
        <w:strike w:val="0"/>
        <w:color w:val="000000"/>
        <w:spacing w:val="0"/>
        <w:w w:val="100"/>
        <w:position w:val="0"/>
        <w:sz w:val="19"/>
        <w:szCs w:val="19"/>
        <w:u w:val="none"/>
      </w:rPr>
    </w:lvl>
    <w:lvl w:ilvl="7">
      <w:start w:val="1"/>
      <w:numFmt w:val="decimal"/>
      <w:lvlText w:val="%1."/>
      <w:lvlJc w:val="left"/>
      <w:pPr>
        <w:ind w:left="0" w:firstLine="0"/>
      </w:pPr>
      <w:rPr>
        <w:rFonts w:ascii="Palatino Linotype" w:hAnsi="Palatino Linotype" w:cs="Palatino Linotype" w:hint="default"/>
        <w:b w:val="0"/>
        <w:bCs w:val="0"/>
        <w:i w:val="0"/>
        <w:iCs w:val="0"/>
        <w:smallCaps w:val="0"/>
        <w:strike w:val="0"/>
        <w:color w:val="000000"/>
        <w:spacing w:val="0"/>
        <w:w w:val="100"/>
        <w:position w:val="0"/>
        <w:sz w:val="19"/>
        <w:szCs w:val="19"/>
        <w:u w:val="none"/>
      </w:rPr>
    </w:lvl>
    <w:lvl w:ilvl="8">
      <w:start w:val="1"/>
      <w:numFmt w:val="decimal"/>
      <w:lvlText w:val="%1."/>
      <w:lvlJc w:val="left"/>
      <w:pPr>
        <w:ind w:left="0" w:firstLine="0"/>
      </w:pPr>
      <w:rPr>
        <w:rFonts w:ascii="Palatino Linotype" w:hAnsi="Palatino Linotype" w:cs="Palatino Linotype" w:hint="default"/>
        <w:b w:val="0"/>
        <w:bCs w:val="0"/>
        <w:i w:val="0"/>
        <w:iCs w:val="0"/>
        <w:smallCaps w:val="0"/>
        <w:strike w:val="0"/>
        <w:color w:val="000000"/>
        <w:spacing w:val="0"/>
        <w:w w:val="100"/>
        <w:position w:val="0"/>
        <w:sz w:val="19"/>
        <w:szCs w:val="19"/>
        <w:u w:val="none"/>
      </w:rPr>
    </w:lvl>
  </w:abstractNum>
  <w:abstractNum w:abstractNumId="3" w15:restartNumberingAfterBreak="0">
    <w:nsid w:val="0000001F"/>
    <w:multiLevelType w:val="multilevel"/>
    <w:tmpl w:val="2D08FE08"/>
    <w:lvl w:ilvl="0">
      <w:start w:val="1"/>
      <w:numFmt w:val="decimal"/>
      <w:lvlText w:val="%1."/>
      <w:lvlJc w:val="left"/>
      <w:rPr>
        <w:rFonts w:ascii="Times New Roman" w:hAnsi="Times New Roman" w:cs="Palatino Linotype"/>
        <w:b/>
        <w:bCs/>
        <w:i w:val="0"/>
        <w:iCs w:val="0"/>
        <w:smallCaps w:val="0"/>
        <w:strike w:val="0"/>
        <w:color w:val="000000"/>
        <w:spacing w:val="0"/>
        <w:w w:val="100"/>
        <w:position w:val="0"/>
        <w:sz w:val="20"/>
        <w:szCs w:val="30"/>
        <w:u w:val="none"/>
      </w:rPr>
    </w:lvl>
    <w:lvl w:ilvl="1">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2">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3">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4">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5">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6">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7">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8">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abstractNum>
  <w:abstractNum w:abstractNumId="4" w15:restartNumberingAfterBreak="0">
    <w:nsid w:val="00000021"/>
    <w:multiLevelType w:val="multilevel"/>
    <w:tmpl w:val="00000020"/>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5" w15:restartNumberingAfterBreak="0">
    <w:nsid w:val="00000023"/>
    <w:multiLevelType w:val="multilevel"/>
    <w:tmpl w:val="7B141692"/>
    <w:lvl w:ilvl="0">
      <w:start w:val="2"/>
      <w:numFmt w:val="upperRoman"/>
      <w:lvlText w:val="%1."/>
      <w:lvlJc w:val="left"/>
      <w:rPr>
        <w:rFonts w:ascii="Times New Roman" w:hAnsi="Times New Roman" w:cs="Palatino Linotype"/>
        <w:b/>
        <w:bCs/>
        <w:i w:val="0"/>
        <w:iCs w:val="0"/>
        <w:smallCaps w:val="0"/>
        <w:strike w:val="0"/>
        <w:color w:val="000000"/>
        <w:spacing w:val="0"/>
        <w:w w:val="100"/>
        <w:position w:val="0"/>
        <w:sz w:val="20"/>
        <w:szCs w:val="30"/>
        <w:u w:val="none"/>
      </w:rPr>
    </w:lvl>
    <w:lvl w:ilvl="1">
      <w:start w:val="2"/>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2">
      <w:start w:val="2"/>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3">
      <w:start w:val="2"/>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4">
      <w:start w:val="2"/>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5">
      <w:start w:val="2"/>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6">
      <w:start w:val="2"/>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7">
      <w:start w:val="2"/>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8">
      <w:start w:val="2"/>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abstractNum>
  <w:abstractNum w:abstractNumId="6" w15:restartNumberingAfterBreak="0">
    <w:nsid w:val="00000029"/>
    <w:multiLevelType w:val="multilevel"/>
    <w:tmpl w:val="E8E2A83A"/>
    <w:lvl w:ilvl="0">
      <w:start w:val="47"/>
      <w:numFmt w:val="decimal"/>
      <w:lvlText w:val="%1."/>
      <w:lvlJc w:val="left"/>
      <w:rPr>
        <w:rFonts w:ascii="Times New Roman" w:hAnsi="Times New Roman" w:cs="Palatino Linotype"/>
        <w:b w:val="0"/>
        <w:bCs w:val="0"/>
        <w:i w:val="0"/>
        <w:iCs/>
        <w:smallCaps w:val="0"/>
        <w:strike w:val="0"/>
        <w:color w:val="000000"/>
        <w:spacing w:val="0"/>
        <w:w w:val="100"/>
        <w:position w:val="0"/>
        <w:sz w:val="20"/>
        <w:szCs w:val="19"/>
        <w:u w:val="none"/>
      </w:rPr>
    </w:lvl>
    <w:lvl w:ilvl="1">
      <w:start w:val="47"/>
      <w:numFmt w:val="decimal"/>
      <w:lvlText w:val="%1."/>
      <w:lvlJc w:val="left"/>
      <w:rPr>
        <w:rFonts w:ascii="Palatino Linotype" w:hAnsi="Palatino Linotype" w:cs="Palatino Linotype"/>
        <w:b w:val="0"/>
        <w:bCs w:val="0"/>
        <w:i w:val="0"/>
        <w:iCs/>
        <w:smallCaps w:val="0"/>
        <w:strike w:val="0"/>
        <w:color w:val="000000"/>
        <w:spacing w:val="0"/>
        <w:w w:val="100"/>
        <w:position w:val="0"/>
        <w:sz w:val="19"/>
        <w:szCs w:val="19"/>
        <w:u w:val="none"/>
      </w:rPr>
    </w:lvl>
    <w:lvl w:ilvl="2">
      <w:start w:val="47"/>
      <w:numFmt w:val="decimal"/>
      <w:lvlText w:val="%1."/>
      <w:lvlJc w:val="left"/>
      <w:rPr>
        <w:rFonts w:ascii="Palatino Linotype" w:hAnsi="Palatino Linotype" w:cs="Palatino Linotype"/>
        <w:b w:val="0"/>
        <w:bCs w:val="0"/>
        <w:i/>
        <w:iCs/>
        <w:smallCaps w:val="0"/>
        <w:strike w:val="0"/>
        <w:color w:val="000000"/>
        <w:spacing w:val="0"/>
        <w:w w:val="100"/>
        <w:position w:val="0"/>
        <w:sz w:val="19"/>
        <w:szCs w:val="19"/>
        <w:u w:val="none"/>
      </w:rPr>
    </w:lvl>
    <w:lvl w:ilvl="3">
      <w:start w:val="47"/>
      <w:numFmt w:val="decimal"/>
      <w:lvlText w:val="%1."/>
      <w:lvlJc w:val="left"/>
      <w:rPr>
        <w:rFonts w:ascii="Palatino Linotype" w:hAnsi="Palatino Linotype" w:cs="Palatino Linotype"/>
        <w:b w:val="0"/>
        <w:bCs w:val="0"/>
        <w:i/>
        <w:iCs/>
        <w:smallCaps w:val="0"/>
        <w:strike w:val="0"/>
        <w:color w:val="000000"/>
        <w:spacing w:val="0"/>
        <w:w w:val="100"/>
        <w:position w:val="0"/>
        <w:sz w:val="19"/>
        <w:szCs w:val="19"/>
        <w:u w:val="none"/>
      </w:rPr>
    </w:lvl>
    <w:lvl w:ilvl="4">
      <w:start w:val="47"/>
      <w:numFmt w:val="decimal"/>
      <w:lvlText w:val="%1."/>
      <w:lvlJc w:val="left"/>
      <w:rPr>
        <w:rFonts w:ascii="Palatino Linotype" w:hAnsi="Palatino Linotype" w:cs="Palatino Linotype"/>
        <w:b w:val="0"/>
        <w:bCs w:val="0"/>
        <w:i/>
        <w:iCs/>
        <w:smallCaps w:val="0"/>
        <w:strike w:val="0"/>
        <w:color w:val="000000"/>
        <w:spacing w:val="0"/>
        <w:w w:val="100"/>
        <w:position w:val="0"/>
        <w:sz w:val="19"/>
        <w:szCs w:val="19"/>
        <w:u w:val="none"/>
      </w:rPr>
    </w:lvl>
    <w:lvl w:ilvl="5">
      <w:start w:val="47"/>
      <w:numFmt w:val="decimal"/>
      <w:lvlText w:val="%1."/>
      <w:lvlJc w:val="left"/>
      <w:rPr>
        <w:rFonts w:ascii="Palatino Linotype" w:hAnsi="Palatino Linotype" w:cs="Palatino Linotype"/>
        <w:b w:val="0"/>
        <w:bCs w:val="0"/>
        <w:i/>
        <w:iCs/>
        <w:smallCaps w:val="0"/>
        <w:strike w:val="0"/>
        <w:color w:val="000000"/>
        <w:spacing w:val="0"/>
        <w:w w:val="100"/>
        <w:position w:val="0"/>
        <w:sz w:val="19"/>
        <w:szCs w:val="19"/>
        <w:u w:val="none"/>
      </w:rPr>
    </w:lvl>
    <w:lvl w:ilvl="6">
      <w:start w:val="47"/>
      <w:numFmt w:val="decimal"/>
      <w:lvlText w:val="%1."/>
      <w:lvlJc w:val="left"/>
      <w:rPr>
        <w:rFonts w:ascii="Palatino Linotype" w:hAnsi="Palatino Linotype" w:cs="Palatino Linotype"/>
        <w:b w:val="0"/>
        <w:bCs w:val="0"/>
        <w:i/>
        <w:iCs/>
        <w:smallCaps w:val="0"/>
        <w:strike w:val="0"/>
        <w:color w:val="000000"/>
        <w:spacing w:val="0"/>
        <w:w w:val="100"/>
        <w:position w:val="0"/>
        <w:sz w:val="19"/>
        <w:szCs w:val="19"/>
        <w:u w:val="none"/>
      </w:rPr>
    </w:lvl>
    <w:lvl w:ilvl="7">
      <w:start w:val="47"/>
      <w:numFmt w:val="decimal"/>
      <w:lvlText w:val="%1."/>
      <w:lvlJc w:val="left"/>
      <w:rPr>
        <w:rFonts w:ascii="Palatino Linotype" w:hAnsi="Palatino Linotype" w:cs="Palatino Linotype"/>
        <w:b w:val="0"/>
        <w:bCs w:val="0"/>
        <w:i/>
        <w:iCs/>
        <w:smallCaps w:val="0"/>
        <w:strike w:val="0"/>
        <w:color w:val="000000"/>
        <w:spacing w:val="0"/>
        <w:w w:val="100"/>
        <w:position w:val="0"/>
        <w:sz w:val="19"/>
        <w:szCs w:val="19"/>
        <w:u w:val="none"/>
      </w:rPr>
    </w:lvl>
    <w:lvl w:ilvl="8">
      <w:start w:val="47"/>
      <w:numFmt w:val="decimal"/>
      <w:lvlText w:val="%1."/>
      <w:lvlJc w:val="left"/>
      <w:rPr>
        <w:rFonts w:ascii="Palatino Linotype" w:hAnsi="Palatino Linotype" w:cs="Palatino Linotype"/>
        <w:b w:val="0"/>
        <w:bCs w:val="0"/>
        <w:i/>
        <w:iCs/>
        <w:smallCaps w:val="0"/>
        <w:strike w:val="0"/>
        <w:color w:val="000000"/>
        <w:spacing w:val="0"/>
        <w:w w:val="100"/>
        <w:position w:val="0"/>
        <w:sz w:val="19"/>
        <w:szCs w:val="19"/>
        <w:u w:val="none"/>
      </w:rPr>
    </w:lvl>
  </w:abstractNum>
  <w:abstractNum w:abstractNumId="7" w15:restartNumberingAfterBreak="0">
    <w:nsid w:val="0000002F"/>
    <w:multiLevelType w:val="multilevel"/>
    <w:tmpl w:val="5CE07A58"/>
    <w:lvl w:ilvl="0">
      <w:start w:val="1"/>
      <w:numFmt w:val="decimal"/>
      <w:lvlText w:val="%1)"/>
      <w:lvlJc w:val="left"/>
      <w:rPr>
        <w:rFonts w:ascii="Times New Roman" w:hAnsi="Times New Roman" w:cs="Palatino Linotype"/>
        <w:b/>
        <w:bCs/>
        <w:i w:val="0"/>
        <w:iCs w:val="0"/>
        <w:smallCaps w:val="0"/>
        <w:strike w:val="0"/>
        <w:color w:val="000000"/>
        <w:spacing w:val="0"/>
        <w:w w:val="100"/>
        <w:position w:val="0"/>
        <w:sz w:val="20"/>
        <w:szCs w:val="30"/>
        <w:u w:val="none"/>
      </w:rPr>
    </w:lvl>
    <w:lvl w:ilvl="1">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2">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3">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4">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5">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6">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7">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8">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abstractNum>
  <w:abstractNum w:abstractNumId="8" w15:restartNumberingAfterBreak="0">
    <w:nsid w:val="00000031"/>
    <w:multiLevelType w:val="multilevel"/>
    <w:tmpl w:val="2C38E482"/>
    <w:lvl w:ilvl="0">
      <w:start w:val="1"/>
      <w:numFmt w:val="decimal"/>
      <w:lvlText w:val="%1)"/>
      <w:lvlJc w:val="left"/>
      <w:rPr>
        <w:rFonts w:ascii="Times New Roman" w:hAnsi="Times New Roman" w:cs="Palatino Linotype"/>
        <w:b/>
        <w:bCs/>
        <w:i w:val="0"/>
        <w:iCs w:val="0"/>
        <w:smallCaps w:val="0"/>
        <w:strike w:val="0"/>
        <w:color w:val="000000"/>
        <w:spacing w:val="0"/>
        <w:w w:val="100"/>
        <w:position w:val="0"/>
        <w:sz w:val="20"/>
        <w:szCs w:val="30"/>
        <w:u w:val="none"/>
      </w:rPr>
    </w:lvl>
    <w:lvl w:ilvl="1">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2">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3">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4">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5">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6">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7">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8">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abstractNum>
  <w:abstractNum w:abstractNumId="9" w15:restartNumberingAfterBreak="0">
    <w:nsid w:val="00000033"/>
    <w:multiLevelType w:val="multilevel"/>
    <w:tmpl w:val="38E4ED3E"/>
    <w:lvl w:ilvl="0">
      <w:start w:val="1"/>
      <w:numFmt w:val="decimal"/>
      <w:lvlText w:val="%1."/>
      <w:lvlJc w:val="left"/>
      <w:rPr>
        <w:rFonts w:ascii="Times New Roman" w:hAnsi="Times New Roman" w:cs="Palatino Linotype"/>
        <w:b/>
        <w:bCs/>
        <w:i w:val="0"/>
        <w:iCs w:val="0"/>
        <w:smallCaps w:val="0"/>
        <w:strike w:val="0"/>
        <w:color w:val="000000"/>
        <w:spacing w:val="0"/>
        <w:w w:val="100"/>
        <w:position w:val="0"/>
        <w:sz w:val="20"/>
        <w:szCs w:val="30"/>
        <w:u w:val="none"/>
      </w:rPr>
    </w:lvl>
    <w:lvl w:ilvl="1">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2">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3">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4">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5">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6">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7">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8">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abstractNum>
  <w:abstractNum w:abstractNumId="10" w15:restartNumberingAfterBreak="0">
    <w:nsid w:val="00000035"/>
    <w:multiLevelType w:val="multilevel"/>
    <w:tmpl w:val="00000034"/>
    <w:lvl w:ilvl="0">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1" w15:restartNumberingAfterBreak="0">
    <w:nsid w:val="00000037"/>
    <w:multiLevelType w:val="multilevel"/>
    <w:tmpl w:val="00000036"/>
    <w:lvl w:ilvl="0">
      <w:start w:val="1"/>
      <w:numFmt w:val="bullet"/>
      <w:lvlText w:val="•"/>
      <w:lvlJc w:val="left"/>
      <w:rPr>
        <w:rFonts w:ascii="Palatino Linotype" w:hAnsi="Palatino Linotype"/>
        <w:b w:val="0"/>
        <w:i w:val="0"/>
        <w:smallCaps w:val="0"/>
        <w:strike w:val="0"/>
        <w:color w:val="000000"/>
        <w:spacing w:val="0"/>
        <w:w w:val="100"/>
        <w:position w:val="0"/>
        <w:sz w:val="19"/>
        <w:u w:val="none"/>
      </w:rPr>
    </w:lvl>
    <w:lvl w:ilvl="1">
      <w:start w:val="1"/>
      <w:numFmt w:val="bullet"/>
      <w:lvlText w:val="•"/>
      <w:lvlJc w:val="left"/>
      <w:rPr>
        <w:rFonts w:ascii="Palatino Linotype" w:hAnsi="Palatino Linotype"/>
        <w:b w:val="0"/>
        <w:i w:val="0"/>
        <w:smallCaps w:val="0"/>
        <w:strike w:val="0"/>
        <w:color w:val="000000"/>
        <w:spacing w:val="0"/>
        <w:w w:val="100"/>
        <w:position w:val="0"/>
        <w:sz w:val="19"/>
        <w:u w:val="none"/>
      </w:rPr>
    </w:lvl>
    <w:lvl w:ilvl="2">
      <w:start w:val="1"/>
      <w:numFmt w:val="bullet"/>
      <w:lvlText w:val="•"/>
      <w:lvlJc w:val="left"/>
      <w:rPr>
        <w:rFonts w:ascii="Palatino Linotype" w:hAnsi="Palatino Linotype"/>
        <w:b w:val="0"/>
        <w:i w:val="0"/>
        <w:smallCaps w:val="0"/>
        <w:strike w:val="0"/>
        <w:color w:val="000000"/>
        <w:spacing w:val="0"/>
        <w:w w:val="100"/>
        <w:position w:val="0"/>
        <w:sz w:val="19"/>
        <w:u w:val="none"/>
      </w:rPr>
    </w:lvl>
    <w:lvl w:ilvl="3">
      <w:start w:val="1"/>
      <w:numFmt w:val="bullet"/>
      <w:lvlText w:val="•"/>
      <w:lvlJc w:val="left"/>
      <w:rPr>
        <w:rFonts w:ascii="Palatino Linotype" w:hAnsi="Palatino Linotype"/>
        <w:b w:val="0"/>
        <w:i w:val="0"/>
        <w:smallCaps w:val="0"/>
        <w:strike w:val="0"/>
        <w:color w:val="000000"/>
        <w:spacing w:val="0"/>
        <w:w w:val="100"/>
        <w:position w:val="0"/>
        <w:sz w:val="19"/>
        <w:u w:val="none"/>
      </w:rPr>
    </w:lvl>
    <w:lvl w:ilvl="4">
      <w:start w:val="1"/>
      <w:numFmt w:val="bullet"/>
      <w:lvlText w:val="•"/>
      <w:lvlJc w:val="left"/>
      <w:rPr>
        <w:rFonts w:ascii="Palatino Linotype" w:hAnsi="Palatino Linotype"/>
        <w:b w:val="0"/>
        <w:i w:val="0"/>
        <w:smallCaps w:val="0"/>
        <w:strike w:val="0"/>
        <w:color w:val="000000"/>
        <w:spacing w:val="0"/>
        <w:w w:val="100"/>
        <w:position w:val="0"/>
        <w:sz w:val="19"/>
        <w:u w:val="none"/>
      </w:rPr>
    </w:lvl>
    <w:lvl w:ilvl="5">
      <w:start w:val="1"/>
      <w:numFmt w:val="bullet"/>
      <w:lvlText w:val="•"/>
      <w:lvlJc w:val="left"/>
      <w:rPr>
        <w:rFonts w:ascii="Palatino Linotype" w:hAnsi="Palatino Linotype"/>
        <w:b w:val="0"/>
        <w:i w:val="0"/>
        <w:smallCaps w:val="0"/>
        <w:strike w:val="0"/>
        <w:color w:val="000000"/>
        <w:spacing w:val="0"/>
        <w:w w:val="100"/>
        <w:position w:val="0"/>
        <w:sz w:val="19"/>
        <w:u w:val="none"/>
      </w:rPr>
    </w:lvl>
    <w:lvl w:ilvl="6">
      <w:start w:val="1"/>
      <w:numFmt w:val="bullet"/>
      <w:lvlText w:val="•"/>
      <w:lvlJc w:val="left"/>
      <w:rPr>
        <w:rFonts w:ascii="Palatino Linotype" w:hAnsi="Palatino Linotype"/>
        <w:b w:val="0"/>
        <w:i w:val="0"/>
        <w:smallCaps w:val="0"/>
        <w:strike w:val="0"/>
        <w:color w:val="000000"/>
        <w:spacing w:val="0"/>
        <w:w w:val="100"/>
        <w:position w:val="0"/>
        <w:sz w:val="19"/>
        <w:u w:val="none"/>
      </w:rPr>
    </w:lvl>
    <w:lvl w:ilvl="7">
      <w:start w:val="1"/>
      <w:numFmt w:val="bullet"/>
      <w:lvlText w:val="•"/>
      <w:lvlJc w:val="left"/>
      <w:rPr>
        <w:rFonts w:ascii="Palatino Linotype" w:hAnsi="Palatino Linotype"/>
        <w:b w:val="0"/>
        <w:i w:val="0"/>
        <w:smallCaps w:val="0"/>
        <w:strike w:val="0"/>
        <w:color w:val="000000"/>
        <w:spacing w:val="0"/>
        <w:w w:val="100"/>
        <w:position w:val="0"/>
        <w:sz w:val="19"/>
        <w:u w:val="none"/>
      </w:rPr>
    </w:lvl>
    <w:lvl w:ilvl="8">
      <w:start w:val="1"/>
      <w:numFmt w:val="bullet"/>
      <w:lvlText w:val="•"/>
      <w:lvlJc w:val="left"/>
      <w:rPr>
        <w:rFonts w:ascii="Palatino Linotype" w:hAnsi="Palatino Linotype"/>
        <w:b w:val="0"/>
        <w:i w:val="0"/>
        <w:smallCaps w:val="0"/>
        <w:strike w:val="0"/>
        <w:color w:val="000000"/>
        <w:spacing w:val="0"/>
        <w:w w:val="100"/>
        <w:position w:val="0"/>
        <w:sz w:val="19"/>
        <w:u w:val="none"/>
      </w:rPr>
    </w:lvl>
  </w:abstractNum>
  <w:abstractNum w:abstractNumId="12" w15:restartNumberingAfterBreak="0">
    <w:nsid w:val="0000003D"/>
    <w:multiLevelType w:val="multilevel"/>
    <w:tmpl w:val="0000003C"/>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3" w15:restartNumberingAfterBreak="0">
    <w:nsid w:val="00000077"/>
    <w:multiLevelType w:val="multilevel"/>
    <w:tmpl w:val="00000076"/>
    <w:lvl w:ilvl="0">
      <w:start w:val="103"/>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03"/>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03"/>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03"/>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03"/>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03"/>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03"/>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03"/>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03"/>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4" w15:restartNumberingAfterBreak="0">
    <w:nsid w:val="00000079"/>
    <w:multiLevelType w:val="multilevel"/>
    <w:tmpl w:val="DE9A460A"/>
    <w:lvl w:ilvl="0">
      <w:start w:val="108"/>
      <w:numFmt w:val="decimal"/>
      <w:lvlText w:val="%1."/>
      <w:lvlJc w:val="left"/>
      <w:rPr>
        <w:rFonts w:ascii="Times New Roman" w:hAnsi="Times New Roman" w:cs="Palatino Linotype"/>
        <w:b w:val="0"/>
        <w:bCs w:val="0"/>
        <w:i w:val="0"/>
        <w:iCs w:val="0"/>
        <w:smallCaps w:val="0"/>
        <w:strike w:val="0"/>
        <w:color w:val="000000"/>
        <w:spacing w:val="0"/>
        <w:w w:val="100"/>
        <w:position w:val="0"/>
        <w:sz w:val="20"/>
        <w:szCs w:val="19"/>
        <w:u w:val="none"/>
      </w:rPr>
    </w:lvl>
    <w:lvl w:ilvl="1">
      <w:start w:val="10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0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0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0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0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0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0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08"/>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5" w15:restartNumberingAfterBreak="0">
    <w:nsid w:val="0000007B"/>
    <w:multiLevelType w:val="multilevel"/>
    <w:tmpl w:val="0000007A"/>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16" w15:restartNumberingAfterBreak="0">
    <w:nsid w:val="0000007D"/>
    <w:multiLevelType w:val="multilevel"/>
    <w:tmpl w:val="02FA73C6"/>
    <w:lvl w:ilvl="0">
      <w:start w:val="2"/>
      <w:numFmt w:val="decimal"/>
      <w:lvlText w:val="%1."/>
      <w:lvlJc w:val="left"/>
      <w:rPr>
        <w:rFonts w:ascii="Times New Roman" w:hAnsi="Times New Roman" w:cs="Palatino Linotype"/>
        <w:b/>
        <w:bCs/>
        <w:i w:val="0"/>
        <w:iCs w:val="0"/>
        <w:smallCaps w:val="0"/>
        <w:strike w:val="0"/>
        <w:color w:val="000000"/>
        <w:spacing w:val="0"/>
        <w:w w:val="100"/>
        <w:position w:val="0"/>
        <w:sz w:val="20"/>
        <w:szCs w:val="30"/>
        <w:u w:val="none"/>
      </w:rPr>
    </w:lvl>
    <w:lvl w:ilvl="1">
      <w:start w:val="2"/>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2">
      <w:start w:val="2"/>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3">
      <w:start w:val="2"/>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4">
      <w:start w:val="2"/>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5">
      <w:start w:val="2"/>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6">
      <w:start w:val="2"/>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7">
      <w:start w:val="2"/>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8">
      <w:start w:val="2"/>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abstractNum>
  <w:abstractNum w:abstractNumId="17" w15:restartNumberingAfterBreak="0">
    <w:nsid w:val="0000007F"/>
    <w:multiLevelType w:val="multilevel"/>
    <w:tmpl w:val="CE44982A"/>
    <w:lvl w:ilvl="0">
      <w:start w:val="1"/>
      <w:numFmt w:val="decimal"/>
      <w:lvlText w:val="%1)"/>
      <w:lvlJc w:val="left"/>
      <w:rPr>
        <w:rFonts w:ascii="Times New Roman" w:hAnsi="Times New Roman" w:cs="Palatino Linotype"/>
        <w:b/>
        <w:bCs/>
        <w:i w:val="0"/>
        <w:iCs w:val="0"/>
        <w:smallCaps w:val="0"/>
        <w:strike w:val="0"/>
        <w:color w:val="000000"/>
        <w:spacing w:val="0"/>
        <w:w w:val="100"/>
        <w:position w:val="0"/>
        <w:sz w:val="20"/>
        <w:szCs w:val="30"/>
        <w:u w:val="none"/>
      </w:rPr>
    </w:lvl>
    <w:lvl w:ilvl="1">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2">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3">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4">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5">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6">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7">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8">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abstractNum>
  <w:abstractNum w:abstractNumId="18" w15:restartNumberingAfterBreak="0">
    <w:nsid w:val="00000081"/>
    <w:multiLevelType w:val="multilevel"/>
    <w:tmpl w:val="E7F415D0"/>
    <w:lvl w:ilvl="0">
      <w:start w:val="1"/>
      <w:numFmt w:val="lowerLetter"/>
      <w:lvlText w:val="%1)"/>
      <w:lvlJc w:val="left"/>
      <w:rPr>
        <w:rFonts w:ascii="Times New Roman" w:hAnsi="Times New Roman" w:cs="Palatino Linotype"/>
        <w:b/>
        <w:bCs/>
        <w:i w:val="0"/>
        <w:iCs w:val="0"/>
        <w:smallCaps w:val="0"/>
        <w:strike w:val="0"/>
        <w:color w:val="000000"/>
        <w:spacing w:val="0"/>
        <w:w w:val="100"/>
        <w:position w:val="0"/>
        <w:sz w:val="20"/>
        <w:szCs w:val="30"/>
        <w:u w:val="none"/>
      </w:rPr>
    </w:lvl>
    <w:lvl w:ilvl="1">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2">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3">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4">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5">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6">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7">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8">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abstractNum>
  <w:abstractNum w:abstractNumId="19" w15:restartNumberingAfterBreak="0">
    <w:nsid w:val="00000083"/>
    <w:multiLevelType w:val="multilevel"/>
    <w:tmpl w:val="BEB4802C"/>
    <w:lvl w:ilvl="0">
      <w:start w:val="1"/>
      <w:numFmt w:val="lowerLetter"/>
      <w:lvlText w:val="%1)"/>
      <w:lvlJc w:val="left"/>
      <w:rPr>
        <w:rFonts w:ascii="Times New Roman" w:hAnsi="Times New Roman" w:cs="Palatino Linotype"/>
        <w:b/>
        <w:bCs/>
        <w:i w:val="0"/>
        <w:iCs w:val="0"/>
        <w:smallCaps w:val="0"/>
        <w:strike w:val="0"/>
        <w:color w:val="000000"/>
        <w:spacing w:val="0"/>
        <w:w w:val="100"/>
        <w:position w:val="0"/>
        <w:sz w:val="20"/>
        <w:szCs w:val="30"/>
        <w:u w:val="none"/>
      </w:rPr>
    </w:lvl>
    <w:lvl w:ilvl="1">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2">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3">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4">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5">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6">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7">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8">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abstractNum>
  <w:abstractNum w:abstractNumId="20" w15:restartNumberingAfterBreak="0">
    <w:nsid w:val="00000085"/>
    <w:multiLevelType w:val="multilevel"/>
    <w:tmpl w:val="B7061296"/>
    <w:lvl w:ilvl="0">
      <w:start w:val="1"/>
      <w:numFmt w:val="decimal"/>
      <w:lvlText w:val="%1)"/>
      <w:lvlJc w:val="left"/>
      <w:rPr>
        <w:rFonts w:ascii="Times New Roman" w:hAnsi="Times New Roman" w:cs="Palatino Linotype"/>
        <w:b/>
        <w:bCs/>
        <w:i w:val="0"/>
        <w:iCs w:val="0"/>
        <w:smallCaps w:val="0"/>
        <w:strike w:val="0"/>
        <w:color w:val="000000"/>
        <w:spacing w:val="0"/>
        <w:w w:val="100"/>
        <w:position w:val="0"/>
        <w:sz w:val="20"/>
        <w:szCs w:val="30"/>
        <w:u w:val="none"/>
      </w:rPr>
    </w:lvl>
    <w:lvl w:ilvl="1">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2">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3">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4">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5">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6">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7">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8">
      <w:start w:val="1"/>
      <w:numFmt w:val="decimal"/>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abstractNum>
  <w:abstractNum w:abstractNumId="21" w15:restartNumberingAfterBreak="0">
    <w:nsid w:val="00000087"/>
    <w:multiLevelType w:val="multilevel"/>
    <w:tmpl w:val="00000086"/>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22" w15:restartNumberingAfterBreak="0">
    <w:nsid w:val="00000089"/>
    <w:multiLevelType w:val="multilevel"/>
    <w:tmpl w:val="00000088"/>
    <w:lvl w:ilvl="0">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23" w15:restartNumberingAfterBreak="0">
    <w:nsid w:val="0000008B"/>
    <w:multiLevelType w:val="multilevel"/>
    <w:tmpl w:val="0000008A"/>
    <w:lvl w:ilvl="0">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24" w15:restartNumberingAfterBreak="0">
    <w:nsid w:val="0000008D"/>
    <w:multiLevelType w:val="multilevel"/>
    <w:tmpl w:val="0000008C"/>
    <w:lvl w:ilvl="0">
      <w:start w:val="1"/>
      <w:numFmt w:val="bullet"/>
      <w:lvlText w:val="-"/>
      <w:lvlJc w:val="left"/>
      <w:rPr>
        <w:rFonts w:ascii="Palatino Linotype" w:hAnsi="Palatino Linotype"/>
        <w:b w:val="0"/>
        <w:i w:val="0"/>
        <w:smallCaps w:val="0"/>
        <w:strike w:val="0"/>
        <w:color w:val="000000"/>
        <w:spacing w:val="0"/>
        <w:w w:val="100"/>
        <w:position w:val="0"/>
        <w:sz w:val="19"/>
        <w:u w:val="none"/>
      </w:rPr>
    </w:lvl>
    <w:lvl w:ilvl="1">
      <w:start w:val="1"/>
      <w:numFmt w:val="bullet"/>
      <w:lvlText w:val="-"/>
      <w:lvlJc w:val="left"/>
      <w:rPr>
        <w:rFonts w:ascii="Palatino Linotype" w:hAnsi="Palatino Linotype"/>
        <w:b w:val="0"/>
        <w:i w:val="0"/>
        <w:smallCaps w:val="0"/>
        <w:strike w:val="0"/>
        <w:color w:val="000000"/>
        <w:spacing w:val="0"/>
        <w:w w:val="100"/>
        <w:position w:val="0"/>
        <w:sz w:val="19"/>
        <w:u w:val="none"/>
      </w:rPr>
    </w:lvl>
    <w:lvl w:ilvl="2">
      <w:start w:val="1"/>
      <w:numFmt w:val="bullet"/>
      <w:lvlText w:val="-"/>
      <w:lvlJc w:val="left"/>
      <w:rPr>
        <w:rFonts w:ascii="Palatino Linotype" w:hAnsi="Palatino Linotype"/>
        <w:b w:val="0"/>
        <w:i w:val="0"/>
        <w:smallCaps w:val="0"/>
        <w:strike w:val="0"/>
        <w:color w:val="000000"/>
        <w:spacing w:val="0"/>
        <w:w w:val="100"/>
        <w:position w:val="0"/>
        <w:sz w:val="19"/>
        <w:u w:val="none"/>
      </w:rPr>
    </w:lvl>
    <w:lvl w:ilvl="3">
      <w:start w:val="1"/>
      <w:numFmt w:val="bullet"/>
      <w:lvlText w:val="-"/>
      <w:lvlJc w:val="left"/>
      <w:rPr>
        <w:rFonts w:ascii="Palatino Linotype" w:hAnsi="Palatino Linotype"/>
        <w:b w:val="0"/>
        <w:i w:val="0"/>
        <w:smallCaps w:val="0"/>
        <w:strike w:val="0"/>
        <w:color w:val="000000"/>
        <w:spacing w:val="0"/>
        <w:w w:val="100"/>
        <w:position w:val="0"/>
        <w:sz w:val="19"/>
        <w:u w:val="none"/>
      </w:rPr>
    </w:lvl>
    <w:lvl w:ilvl="4">
      <w:start w:val="1"/>
      <w:numFmt w:val="bullet"/>
      <w:lvlText w:val="-"/>
      <w:lvlJc w:val="left"/>
      <w:rPr>
        <w:rFonts w:ascii="Palatino Linotype" w:hAnsi="Palatino Linotype"/>
        <w:b w:val="0"/>
        <w:i w:val="0"/>
        <w:smallCaps w:val="0"/>
        <w:strike w:val="0"/>
        <w:color w:val="000000"/>
        <w:spacing w:val="0"/>
        <w:w w:val="100"/>
        <w:position w:val="0"/>
        <w:sz w:val="19"/>
        <w:u w:val="none"/>
      </w:rPr>
    </w:lvl>
    <w:lvl w:ilvl="5">
      <w:start w:val="1"/>
      <w:numFmt w:val="bullet"/>
      <w:lvlText w:val="-"/>
      <w:lvlJc w:val="left"/>
      <w:rPr>
        <w:rFonts w:ascii="Palatino Linotype" w:hAnsi="Palatino Linotype"/>
        <w:b w:val="0"/>
        <w:i w:val="0"/>
        <w:smallCaps w:val="0"/>
        <w:strike w:val="0"/>
        <w:color w:val="000000"/>
        <w:spacing w:val="0"/>
        <w:w w:val="100"/>
        <w:position w:val="0"/>
        <w:sz w:val="19"/>
        <w:u w:val="none"/>
      </w:rPr>
    </w:lvl>
    <w:lvl w:ilvl="6">
      <w:start w:val="1"/>
      <w:numFmt w:val="bullet"/>
      <w:lvlText w:val="-"/>
      <w:lvlJc w:val="left"/>
      <w:rPr>
        <w:rFonts w:ascii="Palatino Linotype" w:hAnsi="Palatino Linotype"/>
        <w:b w:val="0"/>
        <w:i w:val="0"/>
        <w:smallCaps w:val="0"/>
        <w:strike w:val="0"/>
        <w:color w:val="000000"/>
        <w:spacing w:val="0"/>
        <w:w w:val="100"/>
        <w:position w:val="0"/>
        <w:sz w:val="19"/>
        <w:u w:val="none"/>
      </w:rPr>
    </w:lvl>
    <w:lvl w:ilvl="7">
      <w:start w:val="1"/>
      <w:numFmt w:val="bullet"/>
      <w:lvlText w:val="-"/>
      <w:lvlJc w:val="left"/>
      <w:rPr>
        <w:rFonts w:ascii="Palatino Linotype" w:hAnsi="Palatino Linotype"/>
        <w:b w:val="0"/>
        <w:i w:val="0"/>
        <w:smallCaps w:val="0"/>
        <w:strike w:val="0"/>
        <w:color w:val="000000"/>
        <w:spacing w:val="0"/>
        <w:w w:val="100"/>
        <w:position w:val="0"/>
        <w:sz w:val="19"/>
        <w:u w:val="none"/>
      </w:rPr>
    </w:lvl>
    <w:lvl w:ilvl="8">
      <w:start w:val="1"/>
      <w:numFmt w:val="bullet"/>
      <w:lvlText w:val="-"/>
      <w:lvlJc w:val="left"/>
      <w:rPr>
        <w:rFonts w:ascii="Palatino Linotype" w:hAnsi="Palatino Linotype"/>
        <w:b w:val="0"/>
        <w:i w:val="0"/>
        <w:smallCaps w:val="0"/>
        <w:strike w:val="0"/>
        <w:color w:val="000000"/>
        <w:spacing w:val="0"/>
        <w:w w:val="100"/>
        <w:position w:val="0"/>
        <w:sz w:val="19"/>
        <w:u w:val="none"/>
      </w:rPr>
    </w:lvl>
  </w:abstractNum>
  <w:abstractNum w:abstractNumId="25" w15:restartNumberingAfterBreak="0">
    <w:nsid w:val="0000008F"/>
    <w:multiLevelType w:val="multilevel"/>
    <w:tmpl w:val="7D4093FE"/>
    <w:lvl w:ilvl="0">
      <w:start w:val="1"/>
      <w:numFmt w:val="lowerLetter"/>
      <w:lvlText w:val="%1)"/>
      <w:lvlJc w:val="left"/>
      <w:rPr>
        <w:rFonts w:ascii="Times New Roman" w:hAnsi="Times New Roman" w:cs="Palatino Linotype"/>
        <w:b/>
        <w:bCs/>
        <w:i w:val="0"/>
        <w:iCs w:val="0"/>
        <w:smallCaps w:val="0"/>
        <w:strike w:val="0"/>
        <w:color w:val="000000"/>
        <w:spacing w:val="0"/>
        <w:w w:val="100"/>
        <w:position w:val="0"/>
        <w:sz w:val="20"/>
        <w:szCs w:val="30"/>
        <w:u w:val="none"/>
      </w:rPr>
    </w:lvl>
    <w:lvl w:ilvl="1">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2">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3">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4">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5">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6">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7">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8">
      <w:start w:val="1"/>
      <w:numFmt w:val="lowerLetter"/>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abstractNum>
  <w:abstractNum w:abstractNumId="26" w15:restartNumberingAfterBreak="0">
    <w:nsid w:val="00000091"/>
    <w:multiLevelType w:val="multilevel"/>
    <w:tmpl w:val="00000090"/>
    <w:lvl w:ilvl="0">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27" w15:restartNumberingAfterBreak="0">
    <w:nsid w:val="00000093"/>
    <w:multiLevelType w:val="multilevel"/>
    <w:tmpl w:val="00000092"/>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28" w15:restartNumberingAfterBreak="0">
    <w:nsid w:val="00000097"/>
    <w:multiLevelType w:val="multilevel"/>
    <w:tmpl w:val="DE24B85E"/>
    <w:lvl w:ilvl="0">
      <w:start w:val="7"/>
      <w:numFmt w:val="upperRoman"/>
      <w:lvlText w:val="%1."/>
      <w:lvlJc w:val="left"/>
      <w:rPr>
        <w:rFonts w:ascii="Times New Roman" w:hAnsi="Times New Roman" w:cs="Palatino Linotype"/>
        <w:b/>
        <w:bCs/>
        <w:i w:val="0"/>
        <w:iCs w:val="0"/>
        <w:smallCaps w:val="0"/>
        <w:strike w:val="0"/>
        <w:color w:val="000000"/>
        <w:spacing w:val="0"/>
        <w:w w:val="100"/>
        <w:position w:val="0"/>
        <w:sz w:val="20"/>
        <w:szCs w:val="30"/>
        <w:u w:val="none"/>
      </w:rPr>
    </w:lvl>
    <w:lvl w:ilvl="1">
      <w:start w:val="7"/>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2">
      <w:start w:val="7"/>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3">
      <w:start w:val="7"/>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4">
      <w:start w:val="7"/>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5">
      <w:start w:val="7"/>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6">
      <w:start w:val="7"/>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7">
      <w:start w:val="7"/>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lvl w:ilvl="8">
      <w:start w:val="7"/>
      <w:numFmt w:val="upperRoman"/>
      <w:lvlText w:val="%1."/>
      <w:lvlJc w:val="left"/>
      <w:rPr>
        <w:rFonts w:ascii="Palatino Linotype" w:hAnsi="Palatino Linotype" w:cs="Palatino Linotype"/>
        <w:b/>
        <w:bCs/>
        <w:i w:val="0"/>
        <w:iCs w:val="0"/>
        <w:smallCaps w:val="0"/>
        <w:strike w:val="0"/>
        <w:color w:val="000000"/>
        <w:spacing w:val="0"/>
        <w:w w:val="100"/>
        <w:position w:val="0"/>
        <w:sz w:val="30"/>
        <w:szCs w:val="30"/>
        <w:u w:val="none"/>
      </w:rPr>
    </w:lvl>
  </w:abstractNum>
  <w:abstractNum w:abstractNumId="29" w15:restartNumberingAfterBreak="0">
    <w:nsid w:val="00000099"/>
    <w:multiLevelType w:val="multilevel"/>
    <w:tmpl w:val="00000098"/>
    <w:lvl w:ilvl="0">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30" w15:restartNumberingAfterBreak="0">
    <w:nsid w:val="0000009B"/>
    <w:multiLevelType w:val="multilevel"/>
    <w:tmpl w:val="0000009A"/>
    <w:lvl w:ilvl="0">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31" w15:restartNumberingAfterBreak="0">
    <w:nsid w:val="029F3FF3"/>
    <w:multiLevelType w:val="multilevel"/>
    <w:tmpl w:val="FDA06850"/>
    <w:lvl w:ilvl="0">
      <w:start w:val="1"/>
      <w:numFmt w:val="decimal"/>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4986451"/>
    <w:multiLevelType w:val="multilevel"/>
    <w:tmpl w:val="81AAEAAE"/>
    <w:lvl w:ilvl="0">
      <w:start w:val="1"/>
      <w:numFmt w:val="lowerRoman"/>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809795D"/>
    <w:multiLevelType w:val="multilevel"/>
    <w:tmpl w:val="51409A6E"/>
    <w:lvl w:ilvl="0">
      <w:start w:val="2"/>
      <w:numFmt w:val="lowerLetter"/>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AEE04C3"/>
    <w:multiLevelType w:val="multilevel"/>
    <w:tmpl w:val="95765150"/>
    <w:lvl w:ilvl="0">
      <w:start w:val="1"/>
      <w:numFmt w:val="lowerRoman"/>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C0669A6"/>
    <w:multiLevelType w:val="multilevel"/>
    <w:tmpl w:val="959E48AC"/>
    <w:lvl w:ilvl="0">
      <w:start w:val="3"/>
      <w:numFmt w:val="decimal"/>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F596008"/>
    <w:multiLevelType w:val="multilevel"/>
    <w:tmpl w:val="CA70C3BA"/>
    <w:lvl w:ilvl="0">
      <w:start w:val="1"/>
      <w:numFmt w:val="decimal"/>
      <w:lvlText w:val="%1."/>
      <w:lvlJc w:val="left"/>
      <w:pPr>
        <w:ind w:left="0" w:firstLine="0"/>
      </w:pPr>
      <w:rPr>
        <w:rFonts w:ascii="Times New Roman" w:hAnsi="Times New Roman" w:cs="Palatino Linotype" w:hint="default"/>
        <w:b/>
        <w:bCs/>
        <w:i w:val="0"/>
        <w:iCs w:val="0"/>
        <w:smallCaps w:val="0"/>
        <w:strike w:val="0"/>
        <w:color w:val="000000"/>
        <w:spacing w:val="0"/>
        <w:w w:val="100"/>
        <w:position w:val="0"/>
        <w:sz w:val="20"/>
        <w:szCs w:val="30"/>
        <w:u w:val="none"/>
      </w:rPr>
    </w:lvl>
    <w:lvl w:ilvl="1">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2">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3">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4">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5">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6">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7">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8">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abstractNum>
  <w:abstractNum w:abstractNumId="37" w15:restartNumberingAfterBreak="0">
    <w:nsid w:val="2A890800"/>
    <w:multiLevelType w:val="multilevel"/>
    <w:tmpl w:val="1E701E72"/>
    <w:lvl w:ilvl="0">
      <w:start w:val="7"/>
      <w:numFmt w:val="decimal"/>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A9C591E"/>
    <w:multiLevelType w:val="multilevel"/>
    <w:tmpl w:val="274AC90C"/>
    <w:lvl w:ilvl="0">
      <w:start w:val="7"/>
      <w:numFmt w:val="decimal"/>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C5C0BEB"/>
    <w:multiLevelType w:val="multilevel"/>
    <w:tmpl w:val="E5242A46"/>
    <w:lvl w:ilvl="0">
      <w:start w:val="1"/>
      <w:numFmt w:val="decimal"/>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5135CC7"/>
    <w:multiLevelType w:val="multilevel"/>
    <w:tmpl w:val="95765150"/>
    <w:lvl w:ilvl="0">
      <w:start w:val="1"/>
      <w:numFmt w:val="lowerRoman"/>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A201576"/>
    <w:multiLevelType w:val="multilevel"/>
    <w:tmpl w:val="0B0C35BA"/>
    <w:lvl w:ilvl="0">
      <w:start w:val="1"/>
      <w:numFmt w:val="decimal"/>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A3139BF"/>
    <w:multiLevelType w:val="multilevel"/>
    <w:tmpl w:val="4D1818D2"/>
    <w:lvl w:ilvl="0">
      <w:start w:val="1"/>
      <w:numFmt w:val="lowerLetter"/>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AD2397D"/>
    <w:multiLevelType w:val="multilevel"/>
    <w:tmpl w:val="68808A1A"/>
    <w:lvl w:ilvl="0">
      <w:start w:val="1"/>
      <w:numFmt w:val="lowerLetter"/>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B587150"/>
    <w:multiLevelType w:val="multilevel"/>
    <w:tmpl w:val="D17E6354"/>
    <w:lvl w:ilvl="0">
      <w:start w:val="1"/>
      <w:numFmt w:val="lowerLetter"/>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00C60E1"/>
    <w:multiLevelType w:val="multilevel"/>
    <w:tmpl w:val="DD629DE8"/>
    <w:lvl w:ilvl="0">
      <w:start w:val="1"/>
      <w:numFmt w:val="lowerRoman"/>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0820DD3"/>
    <w:multiLevelType w:val="hybridMultilevel"/>
    <w:tmpl w:val="D4C87422"/>
    <w:lvl w:ilvl="0" w:tplc="FB54729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7" w15:restartNumberingAfterBreak="0">
    <w:nsid w:val="40C92E46"/>
    <w:multiLevelType w:val="multilevel"/>
    <w:tmpl w:val="C0DAFF94"/>
    <w:lvl w:ilvl="0">
      <w:start w:val="3"/>
      <w:numFmt w:val="decimal"/>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1855BD5"/>
    <w:multiLevelType w:val="multilevel"/>
    <w:tmpl w:val="63202A88"/>
    <w:lvl w:ilvl="0">
      <w:start w:val="1"/>
      <w:numFmt w:val="decimal"/>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1BA4838"/>
    <w:multiLevelType w:val="multilevel"/>
    <w:tmpl w:val="4E8EFFA8"/>
    <w:lvl w:ilvl="0">
      <w:start w:val="1"/>
      <w:numFmt w:val="decimal"/>
      <w:lvlText w:val="%1)"/>
      <w:lvlJc w:val="left"/>
      <w:pPr>
        <w:ind w:left="0" w:firstLine="0"/>
      </w:pPr>
      <w:rPr>
        <w:rFonts w:ascii="Times New Roman" w:hAnsi="Times New Roman" w:cs="Palatino Linotype" w:hint="default"/>
        <w:b/>
        <w:bCs/>
        <w:i w:val="0"/>
        <w:iCs w:val="0"/>
        <w:smallCaps w:val="0"/>
        <w:strike w:val="0"/>
        <w:color w:val="000000"/>
        <w:spacing w:val="0"/>
        <w:w w:val="100"/>
        <w:position w:val="0"/>
        <w:sz w:val="20"/>
        <w:szCs w:val="30"/>
        <w:u w:val="none"/>
      </w:rPr>
    </w:lvl>
    <w:lvl w:ilvl="1">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2">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3">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4">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5">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6">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7">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8">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abstractNum>
  <w:abstractNum w:abstractNumId="50" w15:restartNumberingAfterBreak="0">
    <w:nsid w:val="41EC439A"/>
    <w:multiLevelType w:val="multilevel"/>
    <w:tmpl w:val="5C34CBAE"/>
    <w:lvl w:ilvl="0">
      <w:start w:val="1"/>
      <w:numFmt w:val="lowerRoman"/>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3567D68"/>
    <w:multiLevelType w:val="multilevel"/>
    <w:tmpl w:val="AF12E27E"/>
    <w:lvl w:ilvl="0">
      <w:start w:val="1"/>
      <w:numFmt w:val="lowerRoman"/>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380744"/>
    <w:multiLevelType w:val="multilevel"/>
    <w:tmpl w:val="B69E57DA"/>
    <w:lvl w:ilvl="0">
      <w:start w:val="1"/>
      <w:numFmt w:val="decimal"/>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F1F187C"/>
    <w:multiLevelType w:val="multilevel"/>
    <w:tmpl w:val="2460E840"/>
    <w:lvl w:ilvl="0">
      <w:start w:val="1"/>
      <w:numFmt w:val="decimal"/>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085577E"/>
    <w:multiLevelType w:val="multilevel"/>
    <w:tmpl w:val="8EF61BB6"/>
    <w:lvl w:ilvl="0">
      <w:start w:val="1"/>
      <w:numFmt w:val="lowerRoman"/>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0ED4BC0"/>
    <w:multiLevelType w:val="multilevel"/>
    <w:tmpl w:val="7772B808"/>
    <w:lvl w:ilvl="0">
      <w:start w:val="1"/>
      <w:numFmt w:val="decimal"/>
      <w:lvlText w:val="%1."/>
      <w:lvlJc w:val="left"/>
      <w:pPr>
        <w:ind w:left="0" w:firstLine="0"/>
      </w:pPr>
      <w:rPr>
        <w:rFonts w:ascii="Times New Roman" w:hAnsi="Times New Roman" w:cs="Palatino Linotype" w:hint="default"/>
        <w:b/>
        <w:bCs/>
        <w:i w:val="0"/>
        <w:iCs w:val="0"/>
        <w:smallCaps w:val="0"/>
        <w:strike w:val="0"/>
        <w:color w:val="000000"/>
        <w:spacing w:val="0"/>
        <w:w w:val="100"/>
        <w:position w:val="0"/>
        <w:sz w:val="20"/>
        <w:szCs w:val="30"/>
        <w:u w:val="none"/>
      </w:rPr>
    </w:lvl>
    <w:lvl w:ilvl="1">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2">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3">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4">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5">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6">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7">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lvl w:ilvl="8">
      <w:start w:val="1"/>
      <w:numFmt w:val="decimal"/>
      <w:lvlText w:val="%1."/>
      <w:lvlJc w:val="left"/>
      <w:pPr>
        <w:ind w:left="0" w:firstLine="0"/>
      </w:pPr>
      <w:rPr>
        <w:rFonts w:ascii="Palatino Linotype" w:hAnsi="Palatino Linotype" w:cs="Palatino Linotype" w:hint="default"/>
        <w:b/>
        <w:bCs/>
        <w:i w:val="0"/>
        <w:iCs w:val="0"/>
        <w:smallCaps w:val="0"/>
        <w:strike w:val="0"/>
        <w:color w:val="000000"/>
        <w:spacing w:val="0"/>
        <w:w w:val="100"/>
        <w:position w:val="0"/>
        <w:sz w:val="30"/>
        <w:szCs w:val="30"/>
        <w:u w:val="none"/>
      </w:rPr>
    </w:lvl>
  </w:abstractNum>
  <w:abstractNum w:abstractNumId="56" w15:restartNumberingAfterBreak="0">
    <w:nsid w:val="5FFA4274"/>
    <w:multiLevelType w:val="multilevel"/>
    <w:tmpl w:val="26E8FE3A"/>
    <w:lvl w:ilvl="0">
      <w:start w:val="1"/>
      <w:numFmt w:val="decimal"/>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0F52C2"/>
    <w:multiLevelType w:val="hybridMultilevel"/>
    <w:tmpl w:val="94B8CF16"/>
    <w:lvl w:ilvl="0" w:tplc="F288FE9E">
      <w:start w:val="1"/>
      <w:numFmt w:val="lowerLetter"/>
      <w:lvlText w:val="%1)"/>
      <w:lvlJc w:val="left"/>
      <w:pPr>
        <w:ind w:left="380" w:hanging="360"/>
      </w:pPr>
      <w:rPr>
        <w:rFonts w:hint="default"/>
      </w:rPr>
    </w:lvl>
    <w:lvl w:ilvl="1" w:tplc="2C0A0019" w:tentative="1">
      <w:start w:val="1"/>
      <w:numFmt w:val="lowerLetter"/>
      <w:lvlText w:val="%2."/>
      <w:lvlJc w:val="left"/>
      <w:pPr>
        <w:ind w:left="1100" w:hanging="360"/>
      </w:pPr>
    </w:lvl>
    <w:lvl w:ilvl="2" w:tplc="2C0A001B" w:tentative="1">
      <w:start w:val="1"/>
      <w:numFmt w:val="lowerRoman"/>
      <w:lvlText w:val="%3."/>
      <w:lvlJc w:val="right"/>
      <w:pPr>
        <w:ind w:left="1820" w:hanging="180"/>
      </w:pPr>
    </w:lvl>
    <w:lvl w:ilvl="3" w:tplc="2C0A000F" w:tentative="1">
      <w:start w:val="1"/>
      <w:numFmt w:val="decimal"/>
      <w:lvlText w:val="%4."/>
      <w:lvlJc w:val="left"/>
      <w:pPr>
        <w:ind w:left="2540" w:hanging="360"/>
      </w:pPr>
    </w:lvl>
    <w:lvl w:ilvl="4" w:tplc="2C0A0019" w:tentative="1">
      <w:start w:val="1"/>
      <w:numFmt w:val="lowerLetter"/>
      <w:lvlText w:val="%5."/>
      <w:lvlJc w:val="left"/>
      <w:pPr>
        <w:ind w:left="3260" w:hanging="360"/>
      </w:pPr>
    </w:lvl>
    <w:lvl w:ilvl="5" w:tplc="2C0A001B" w:tentative="1">
      <w:start w:val="1"/>
      <w:numFmt w:val="lowerRoman"/>
      <w:lvlText w:val="%6."/>
      <w:lvlJc w:val="right"/>
      <w:pPr>
        <w:ind w:left="3980" w:hanging="180"/>
      </w:pPr>
    </w:lvl>
    <w:lvl w:ilvl="6" w:tplc="2C0A000F" w:tentative="1">
      <w:start w:val="1"/>
      <w:numFmt w:val="decimal"/>
      <w:lvlText w:val="%7."/>
      <w:lvlJc w:val="left"/>
      <w:pPr>
        <w:ind w:left="4700" w:hanging="360"/>
      </w:pPr>
    </w:lvl>
    <w:lvl w:ilvl="7" w:tplc="2C0A0019" w:tentative="1">
      <w:start w:val="1"/>
      <w:numFmt w:val="lowerLetter"/>
      <w:lvlText w:val="%8."/>
      <w:lvlJc w:val="left"/>
      <w:pPr>
        <w:ind w:left="5420" w:hanging="360"/>
      </w:pPr>
    </w:lvl>
    <w:lvl w:ilvl="8" w:tplc="2C0A001B" w:tentative="1">
      <w:start w:val="1"/>
      <w:numFmt w:val="lowerRoman"/>
      <w:lvlText w:val="%9."/>
      <w:lvlJc w:val="right"/>
      <w:pPr>
        <w:ind w:left="6140" w:hanging="180"/>
      </w:pPr>
    </w:lvl>
  </w:abstractNum>
  <w:abstractNum w:abstractNumId="58" w15:restartNumberingAfterBreak="0">
    <w:nsid w:val="63A2115A"/>
    <w:multiLevelType w:val="multilevel"/>
    <w:tmpl w:val="BDCA6402"/>
    <w:lvl w:ilvl="0">
      <w:start w:val="1"/>
      <w:numFmt w:val="lowerRoman"/>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7A0219E"/>
    <w:multiLevelType w:val="multilevel"/>
    <w:tmpl w:val="00000034"/>
    <w:lvl w:ilvl="0">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60" w15:restartNumberingAfterBreak="0">
    <w:nsid w:val="6EFD221F"/>
    <w:multiLevelType w:val="multilevel"/>
    <w:tmpl w:val="00000034"/>
    <w:lvl w:ilvl="0">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1">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2">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3">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4">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5">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6">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7">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lvl w:ilvl="8">
      <w:start w:val="1"/>
      <w:numFmt w:val="lowerRoman"/>
      <w:lvlText w:val="(%1)"/>
      <w:lvlJc w:val="left"/>
      <w:rPr>
        <w:rFonts w:ascii="Palatino Linotype" w:hAnsi="Palatino Linotype" w:cs="Palatino Linotype"/>
        <w:b w:val="0"/>
        <w:bCs w:val="0"/>
        <w:i w:val="0"/>
        <w:iCs w:val="0"/>
        <w:smallCaps w:val="0"/>
        <w:strike w:val="0"/>
        <w:color w:val="000000"/>
        <w:spacing w:val="0"/>
        <w:w w:val="100"/>
        <w:position w:val="0"/>
        <w:sz w:val="19"/>
        <w:szCs w:val="19"/>
        <w:u w:val="none"/>
      </w:rPr>
    </w:lvl>
  </w:abstractNum>
  <w:abstractNum w:abstractNumId="61" w15:restartNumberingAfterBreak="0">
    <w:nsid w:val="6F6D726D"/>
    <w:multiLevelType w:val="multilevel"/>
    <w:tmpl w:val="FE5A52FE"/>
    <w:lvl w:ilvl="0">
      <w:start w:val="1"/>
      <w:numFmt w:val="decimal"/>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55A41C1"/>
    <w:multiLevelType w:val="hybridMultilevel"/>
    <w:tmpl w:val="820474BE"/>
    <w:lvl w:ilvl="0" w:tplc="D5CC768E">
      <w:start w:val="1"/>
      <w:numFmt w:val="decimal"/>
      <w:pStyle w:val="TOC2"/>
      <w:lvlText w:val="%1."/>
      <w:lvlJc w:val="left"/>
      <w:pPr>
        <w:ind w:left="380" w:hanging="360"/>
      </w:pPr>
      <w:rPr>
        <w:rFonts w:hint="default"/>
      </w:rPr>
    </w:lvl>
    <w:lvl w:ilvl="1" w:tplc="2C0A0019" w:tentative="1">
      <w:start w:val="1"/>
      <w:numFmt w:val="lowerLetter"/>
      <w:lvlText w:val="%2."/>
      <w:lvlJc w:val="left"/>
      <w:pPr>
        <w:ind w:left="1100" w:hanging="360"/>
      </w:pPr>
    </w:lvl>
    <w:lvl w:ilvl="2" w:tplc="2C0A001B" w:tentative="1">
      <w:start w:val="1"/>
      <w:numFmt w:val="lowerRoman"/>
      <w:lvlText w:val="%3."/>
      <w:lvlJc w:val="right"/>
      <w:pPr>
        <w:ind w:left="1820" w:hanging="180"/>
      </w:pPr>
    </w:lvl>
    <w:lvl w:ilvl="3" w:tplc="2C0A000F" w:tentative="1">
      <w:start w:val="1"/>
      <w:numFmt w:val="decimal"/>
      <w:lvlText w:val="%4."/>
      <w:lvlJc w:val="left"/>
      <w:pPr>
        <w:ind w:left="2540" w:hanging="360"/>
      </w:pPr>
    </w:lvl>
    <w:lvl w:ilvl="4" w:tplc="2C0A0019" w:tentative="1">
      <w:start w:val="1"/>
      <w:numFmt w:val="lowerLetter"/>
      <w:lvlText w:val="%5."/>
      <w:lvlJc w:val="left"/>
      <w:pPr>
        <w:ind w:left="3260" w:hanging="360"/>
      </w:pPr>
    </w:lvl>
    <w:lvl w:ilvl="5" w:tplc="2C0A001B" w:tentative="1">
      <w:start w:val="1"/>
      <w:numFmt w:val="lowerRoman"/>
      <w:lvlText w:val="%6."/>
      <w:lvlJc w:val="right"/>
      <w:pPr>
        <w:ind w:left="3980" w:hanging="180"/>
      </w:pPr>
    </w:lvl>
    <w:lvl w:ilvl="6" w:tplc="2C0A000F" w:tentative="1">
      <w:start w:val="1"/>
      <w:numFmt w:val="decimal"/>
      <w:lvlText w:val="%7."/>
      <w:lvlJc w:val="left"/>
      <w:pPr>
        <w:ind w:left="4700" w:hanging="360"/>
      </w:pPr>
    </w:lvl>
    <w:lvl w:ilvl="7" w:tplc="2C0A0019" w:tentative="1">
      <w:start w:val="1"/>
      <w:numFmt w:val="lowerLetter"/>
      <w:lvlText w:val="%8."/>
      <w:lvlJc w:val="left"/>
      <w:pPr>
        <w:ind w:left="5420" w:hanging="360"/>
      </w:pPr>
    </w:lvl>
    <w:lvl w:ilvl="8" w:tplc="2C0A001B" w:tentative="1">
      <w:start w:val="1"/>
      <w:numFmt w:val="lowerRoman"/>
      <w:lvlText w:val="%9."/>
      <w:lvlJc w:val="right"/>
      <w:pPr>
        <w:ind w:left="6140" w:hanging="180"/>
      </w:pPr>
    </w:lvl>
  </w:abstractNum>
  <w:abstractNum w:abstractNumId="63" w15:restartNumberingAfterBreak="0">
    <w:nsid w:val="7A0C7B14"/>
    <w:multiLevelType w:val="multilevel"/>
    <w:tmpl w:val="0206E1CA"/>
    <w:lvl w:ilvl="0">
      <w:start w:val="2"/>
      <w:numFmt w:val="lowerLetter"/>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C5773C5"/>
    <w:multiLevelType w:val="hybridMultilevel"/>
    <w:tmpl w:val="45CC0072"/>
    <w:lvl w:ilvl="0" w:tplc="C71E7B50">
      <w:start w:val="5"/>
      <w:numFmt w:val="decimal"/>
      <w:lvlText w:val="%1)"/>
      <w:lvlJc w:val="left"/>
      <w:pPr>
        <w:ind w:left="380" w:hanging="360"/>
      </w:pPr>
      <w:rPr>
        <w:rFonts w:hint="default"/>
      </w:rPr>
    </w:lvl>
    <w:lvl w:ilvl="1" w:tplc="2C0A0019" w:tentative="1">
      <w:start w:val="1"/>
      <w:numFmt w:val="lowerLetter"/>
      <w:lvlText w:val="%2."/>
      <w:lvlJc w:val="left"/>
      <w:pPr>
        <w:ind w:left="1100" w:hanging="360"/>
      </w:pPr>
    </w:lvl>
    <w:lvl w:ilvl="2" w:tplc="2C0A001B" w:tentative="1">
      <w:start w:val="1"/>
      <w:numFmt w:val="lowerRoman"/>
      <w:lvlText w:val="%3."/>
      <w:lvlJc w:val="right"/>
      <w:pPr>
        <w:ind w:left="1820" w:hanging="180"/>
      </w:pPr>
    </w:lvl>
    <w:lvl w:ilvl="3" w:tplc="2C0A000F" w:tentative="1">
      <w:start w:val="1"/>
      <w:numFmt w:val="decimal"/>
      <w:lvlText w:val="%4."/>
      <w:lvlJc w:val="left"/>
      <w:pPr>
        <w:ind w:left="2540" w:hanging="360"/>
      </w:pPr>
    </w:lvl>
    <w:lvl w:ilvl="4" w:tplc="2C0A0019" w:tentative="1">
      <w:start w:val="1"/>
      <w:numFmt w:val="lowerLetter"/>
      <w:lvlText w:val="%5."/>
      <w:lvlJc w:val="left"/>
      <w:pPr>
        <w:ind w:left="3260" w:hanging="360"/>
      </w:pPr>
    </w:lvl>
    <w:lvl w:ilvl="5" w:tplc="2C0A001B" w:tentative="1">
      <w:start w:val="1"/>
      <w:numFmt w:val="lowerRoman"/>
      <w:lvlText w:val="%6."/>
      <w:lvlJc w:val="right"/>
      <w:pPr>
        <w:ind w:left="3980" w:hanging="180"/>
      </w:pPr>
    </w:lvl>
    <w:lvl w:ilvl="6" w:tplc="2C0A000F" w:tentative="1">
      <w:start w:val="1"/>
      <w:numFmt w:val="decimal"/>
      <w:lvlText w:val="%7."/>
      <w:lvlJc w:val="left"/>
      <w:pPr>
        <w:ind w:left="4700" w:hanging="360"/>
      </w:pPr>
    </w:lvl>
    <w:lvl w:ilvl="7" w:tplc="2C0A0019" w:tentative="1">
      <w:start w:val="1"/>
      <w:numFmt w:val="lowerLetter"/>
      <w:lvlText w:val="%8."/>
      <w:lvlJc w:val="left"/>
      <w:pPr>
        <w:ind w:left="5420" w:hanging="360"/>
      </w:pPr>
    </w:lvl>
    <w:lvl w:ilvl="8" w:tplc="2C0A001B" w:tentative="1">
      <w:start w:val="1"/>
      <w:numFmt w:val="lowerRoman"/>
      <w:lvlText w:val="%9."/>
      <w:lvlJc w:val="right"/>
      <w:pPr>
        <w:ind w:left="6140" w:hanging="180"/>
      </w:pPr>
    </w:lvl>
  </w:abstractNum>
  <w:abstractNum w:abstractNumId="65" w15:restartNumberingAfterBreak="0">
    <w:nsid w:val="7FE666C0"/>
    <w:multiLevelType w:val="multilevel"/>
    <w:tmpl w:val="5E0080BE"/>
    <w:lvl w:ilvl="0">
      <w:start w:val="1"/>
      <w:numFmt w:val="lowerLetter"/>
      <w:lvlText w:val="(%1)"/>
      <w:lvlJc w:val="left"/>
      <w:rPr>
        <w:rFonts w:ascii="Book Antiqua" w:eastAsia="Book Antiqua" w:hAnsi="Book Antiqua" w:cs="Book Antiqua"/>
        <w:b w:val="0"/>
        <w:bCs w:val="0"/>
        <w:i/>
        <w:iCs/>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6"/>
  </w:num>
  <w:num w:numId="3">
    <w:abstractNumId w:val="3"/>
  </w:num>
  <w:num w:numId="4">
    <w:abstractNumId w:val="4"/>
  </w:num>
  <w:num w:numId="5">
    <w:abstractNumId w:val="5"/>
  </w:num>
  <w:num w:numId="6">
    <w:abstractNumId w:val="6"/>
  </w:num>
  <w:num w:numId="7">
    <w:abstractNumId w:val="0"/>
  </w:num>
  <w:num w:numId="8">
    <w:abstractNumId w:val="7"/>
  </w:num>
  <w:num w:numId="9">
    <w:abstractNumId w:val="8"/>
  </w:num>
  <w:num w:numId="10">
    <w:abstractNumId w:val="1"/>
  </w:num>
  <w:num w:numId="11">
    <w:abstractNumId w:val="9"/>
  </w:num>
  <w:num w:numId="12">
    <w:abstractNumId w:val="10"/>
  </w:num>
  <w:num w:numId="13">
    <w:abstractNumId w:val="11"/>
  </w:num>
  <w:num w:numId="14">
    <w:abstractNumId w:val="12"/>
  </w:num>
  <w:num w:numId="15">
    <w:abstractNumId w:val="32"/>
  </w:num>
  <w:num w:numId="16">
    <w:abstractNumId w:val="33"/>
  </w:num>
  <w:num w:numId="17">
    <w:abstractNumId w:val="34"/>
  </w:num>
  <w:num w:numId="18">
    <w:abstractNumId w:val="56"/>
  </w:num>
  <w:num w:numId="19">
    <w:abstractNumId w:val="61"/>
  </w:num>
  <w:num w:numId="20">
    <w:abstractNumId w:val="53"/>
  </w:num>
  <w:num w:numId="21">
    <w:abstractNumId w:val="65"/>
  </w:num>
  <w:num w:numId="22">
    <w:abstractNumId w:val="45"/>
  </w:num>
  <w:num w:numId="23">
    <w:abstractNumId w:val="42"/>
  </w:num>
  <w:num w:numId="24">
    <w:abstractNumId w:val="31"/>
  </w:num>
  <w:num w:numId="25">
    <w:abstractNumId w:val="35"/>
  </w:num>
  <w:num w:numId="26">
    <w:abstractNumId w:val="37"/>
  </w:num>
  <w:num w:numId="27">
    <w:abstractNumId w:val="58"/>
  </w:num>
  <w:num w:numId="28">
    <w:abstractNumId w:val="63"/>
  </w:num>
  <w:num w:numId="29">
    <w:abstractNumId w:val="54"/>
  </w:num>
  <w:num w:numId="30">
    <w:abstractNumId w:val="51"/>
  </w:num>
  <w:num w:numId="31">
    <w:abstractNumId w:val="52"/>
  </w:num>
  <w:num w:numId="32">
    <w:abstractNumId w:val="41"/>
  </w:num>
  <w:num w:numId="33">
    <w:abstractNumId w:val="48"/>
  </w:num>
  <w:num w:numId="34">
    <w:abstractNumId w:val="43"/>
  </w:num>
  <w:num w:numId="35">
    <w:abstractNumId w:val="50"/>
  </w:num>
  <w:num w:numId="36">
    <w:abstractNumId w:val="44"/>
  </w:num>
  <w:num w:numId="37">
    <w:abstractNumId w:val="39"/>
  </w:num>
  <w:num w:numId="38">
    <w:abstractNumId w:val="47"/>
  </w:num>
  <w:num w:numId="39">
    <w:abstractNumId w:val="38"/>
  </w:num>
  <w:num w:numId="40">
    <w:abstractNumId w:val="13"/>
  </w:num>
  <w:num w:numId="41">
    <w:abstractNumId w:val="14"/>
  </w:num>
  <w:num w:numId="42">
    <w:abstractNumId w:val="15"/>
  </w:num>
  <w:num w:numId="43">
    <w:abstractNumId w:val="16"/>
  </w:num>
  <w:num w:numId="44">
    <w:abstractNumId w:val="17"/>
  </w:num>
  <w:num w:numId="45">
    <w:abstractNumId w:val="18"/>
  </w:num>
  <w:num w:numId="46">
    <w:abstractNumId w:val="19"/>
  </w:num>
  <w:num w:numId="47">
    <w:abstractNumId w:val="20"/>
  </w:num>
  <w:num w:numId="48">
    <w:abstractNumId w:val="21"/>
  </w:num>
  <w:num w:numId="49">
    <w:abstractNumId w:val="22"/>
  </w:num>
  <w:num w:numId="50">
    <w:abstractNumId w:val="23"/>
  </w:num>
  <w:num w:numId="51">
    <w:abstractNumId w:val="24"/>
  </w:num>
  <w:num w:numId="52">
    <w:abstractNumId w:val="25"/>
  </w:num>
  <w:num w:numId="53">
    <w:abstractNumId w:val="26"/>
  </w:num>
  <w:num w:numId="54">
    <w:abstractNumId w:val="27"/>
  </w:num>
  <w:num w:numId="55">
    <w:abstractNumId w:val="28"/>
  </w:num>
  <w:num w:numId="56">
    <w:abstractNumId w:val="29"/>
  </w:num>
  <w:num w:numId="57">
    <w:abstractNumId w:val="30"/>
  </w:num>
  <w:num w:numId="58">
    <w:abstractNumId w:val="62"/>
  </w:num>
  <w:num w:numId="59">
    <w:abstractNumId w:val="62"/>
    <w:lvlOverride w:ilvl="0">
      <w:startOverride w:val="1"/>
    </w:lvlOverride>
  </w:num>
  <w:num w:numId="60">
    <w:abstractNumId w:val="62"/>
    <w:lvlOverride w:ilvl="0">
      <w:startOverride w:val="1"/>
    </w:lvlOverride>
  </w:num>
  <w:num w:numId="61">
    <w:abstractNumId w:val="62"/>
    <w:lvlOverride w:ilvl="0">
      <w:startOverride w:val="1"/>
    </w:lvlOverride>
  </w:num>
  <w:num w:numId="62">
    <w:abstractNumId w:val="64"/>
  </w:num>
  <w:num w:numId="63">
    <w:abstractNumId w:val="57"/>
  </w:num>
  <w:num w:numId="64">
    <w:abstractNumId w:val="36"/>
  </w:num>
  <w:num w:numId="65">
    <w:abstractNumId w:val="55"/>
  </w:num>
  <w:num w:numId="66">
    <w:abstractNumId w:val="60"/>
  </w:num>
  <w:num w:numId="67">
    <w:abstractNumId w:val="59"/>
  </w:num>
  <w:num w:numId="68">
    <w:abstractNumId w:val="40"/>
  </w:num>
  <w:num w:numId="69">
    <w:abstractNumId w:val="4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567"/>
  <w:hyphenationZone w:val="425"/>
  <w:drawingGridHorizontalSpacing w:val="10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76"/>
    <w:rsid w:val="00000B4E"/>
    <w:rsid w:val="00002E87"/>
    <w:rsid w:val="000053F7"/>
    <w:rsid w:val="0000570C"/>
    <w:rsid w:val="00007608"/>
    <w:rsid w:val="0001074B"/>
    <w:rsid w:val="000110C8"/>
    <w:rsid w:val="00011148"/>
    <w:rsid w:val="00013B04"/>
    <w:rsid w:val="00014DE2"/>
    <w:rsid w:val="000214AD"/>
    <w:rsid w:val="000230E9"/>
    <w:rsid w:val="00024621"/>
    <w:rsid w:val="00026385"/>
    <w:rsid w:val="000315AB"/>
    <w:rsid w:val="000321D9"/>
    <w:rsid w:val="00033979"/>
    <w:rsid w:val="00033FB6"/>
    <w:rsid w:val="00036081"/>
    <w:rsid w:val="000367D4"/>
    <w:rsid w:val="00041FD7"/>
    <w:rsid w:val="00042CE5"/>
    <w:rsid w:val="00044728"/>
    <w:rsid w:val="00044ABE"/>
    <w:rsid w:val="00046535"/>
    <w:rsid w:val="00046C59"/>
    <w:rsid w:val="000515B7"/>
    <w:rsid w:val="00052C8B"/>
    <w:rsid w:val="00054362"/>
    <w:rsid w:val="000639DA"/>
    <w:rsid w:val="00064224"/>
    <w:rsid w:val="0006430D"/>
    <w:rsid w:val="00067F06"/>
    <w:rsid w:val="00071855"/>
    <w:rsid w:val="00075DE0"/>
    <w:rsid w:val="000766E9"/>
    <w:rsid w:val="000830FD"/>
    <w:rsid w:val="00083DE9"/>
    <w:rsid w:val="00084F60"/>
    <w:rsid w:val="00087185"/>
    <w:rsid w:val="00087609"/>
    <w:rsid w:val="00094CCD"/>
    <w:rsid w:val="0009566F"/>
    <w:rsid w:val="000A3411"/>
    <w:rsid w:val="000A4ED0"/>
    <w:rsid w:val="000A5B35"/>
    <w:rsid w:val="000A7208"/>
    <w:rsid w:val="000A7426"/>
    <w:rsid w:val="000B0C18"/>
    <w:rsid w:val="000B2B5D"/>
    <w:rsid w:val="000B2C28"/>
    <w:rsid w:val="000B3AEC"/>
    <w:rsid w:val="000B4594"/>
    <w:rsid w:val="000B477F"/>
    <w:rsid w:val="000B6CD6"/>
    <w:rsid w:val="000B7099"/>
    <w:rsid w:val="000C1F3E"/>
    <w:rsid w:val="000C36E8"/>
    <w:rsid w:val="000C4D30"/>
    <w:rsid w:val="000C52EB"/>
    <w:rsid w:val="000C6413"/>
    <w:rsid w:val="000D2EF2"/>
    <w:rsid w:val="000D317C"/>
    <w:rsid w:val="000D3876"/>
    <w:rsid w:val="000D78E1"/>
    <w:rsid w:val="000E0526"/>
    <w:rsid w:val="000E1335"/>
    <w:rsid w:val="000E20EC"/>
    <w:rsid w:val="000E263A"/>
    <w:rsid w:val="000E2C06"/>
    <w:rsid w:val="000E346E"/>
    <w:rsid w:val="000E4966"/>
    <w:rsid w:val="000E4E54"/>
    <w:rsid w:val="000E62CE"/>
    <w:rsid w:val="000F1334"/>
    <w:rsid w:val="000F15F6"/>
    <w:rsid w:val="000F3778"/>
    <w:rsid w:val="000F7DF8"/>
    <w:rsid w:val="001011AD"/>
    <w:rsid w:val="00102D34"/>
    <w:rsid w:val="001035C9"/>
    <w:rsid w:val="0011374D"/>
    <w:rsid w:val="001139C6"/>
    <w:rsid w:val="00114AD0"/>
    <w:rsid w:val="00116AF7"/>
    <w:rsid w:val="001202F1"/>
    <w:rsid w:val="00120BE9"/>
    <w:rsid w:val="001228EE"/>
    <w:rsid w:val="00122D2E"/>
    <w:rsid w:val="00124F01"/>
    <w:rsid w:val="001258EC"/>
    <w:rsid w:val="001270B7"/>
    <w:rsid w:val="001325BA"/>
    <w:rsid w:val="001350A5"/>
    <w:rsid w:val="001351E4"/>
    <w:rsid w:val="00137593"/>
    <w:rsid w:val="00137928"/>
    <w:rsid w:val="001441DA"/>
    <w:rsid w:val="0014454E"/>
    <w:rsid w:val="0014520D"/>
    <w:rsid w:val="00150F99"/>
    <w:rsid w:val="00151B08"/>
    <w:rsid w:val="00154DE6"/>
    <w:rsid w:val="00154ECF"/>
    <w:rsid w:val="00154F46"/>
    <w:rsid w:val="00155ADE"/>
    <w:rsid w:val="0015703E"/>
    <w:rsid w:val="001576DB"/>
    <w:rsid w:val="00157F94"/>
    <w:rsid w:val="001609CA"/>
    <w:rsid w:val="00161029"/>
    <w:rsid w:val="00161720"/>
    <w:rsid w:val="00161E88"/>
    <w:rsid w:val="001643DD"/>
    <w:rsid w:val="001700FA"/>
    <w:rsid w:val="00171793"/>
    <w:rsid w:val="00173A9E"/>
    <w:rsid w:val="001753D5"/>
    <w:rsid w:val="00175ADE"/>
    <w:rsid w:val="00176EC6"/>
    <w:rsid w:val="00177089"/>
    <w:rsid w:val="001843D9"/>
    <w:rsid w:val="00184B74"/>
    <w:rsid w:val="0019575B"/>
    <w:rsid w:val="00195C7F"/>
    <w:rsid w:val="00195D27"/>
    <w:rsid w:val="00197DD8"/>
    <w:rsid w:val="001A0260"/>
    <w:rsid w:val="001A1E10"/>
    <w:rsid w:val="001A42F6"/>
    <w:rsid w:val="001A69AD"/>
    <w:rsid w:val="001B1150"/>
    <w:rsid w:val="001B3278"/>
    <w:rsid w:val="001B4331"/>
    <w:rsid w:val="001B6344"/>
    <w:rsid w:val="001B70ED"/>
    <w:rsid w:val="001C1F01"/>
    <w:rsid w:val="001C1F38"/>
    <w:rsid w:val="001C2875"/>
    <w:rsid w:val="001C35A3"/>
    <w:rsid w:val="001C367E"/>
    <w:rsid w:val="001C3AD0"/>
    <w:rsid w:val="001C54D0"/>
    <w:rsid w:val="001C5FE4"/>
    <w:rsid w:val="001C75EA"/>
    <w:rsid w:val="001D0A61"/>
    <w:rsid w:val="001D202E"/>
    <w:rsid w:val="001D59F9"/>
    <w:rsid w:val="001D6864"/>
    <w:rsid w:val="001E43DB"/>
    <w:rsid w:val="001E798E"/>
    <w:rsid w:val="001F0A73"/>
    <w:rsid w:val="001F2AF1"/>
    <w:rsid w:val="001F2CE5"/>
    <w:rsid w:val="001F2FD9"/>
    <w:rsid w:val="001F3DC8"/>
    <w:rsid w:val="001F7639"/>
    <w:rsid w:val="00200472"/>
    <w:rsid w:val="00200ACF"/>
    <w:rsid w:val="00202037"/>
    <w:rsid w:val="0020274C"/>
    <w:rsid w:val="002040CC"/>
    <w:rsid w:val="002103DC"/>
    <w:rsid w:val="00210549"/>
    <w:rsid w:val="00210A37"/>
    <w:rsid w:val="002121A5"/>
    <w:rsid w:val="002132E7"/>
    <w:rsid w:val="00214726"/>
    <w:rsid w:val="002149E2"/>
    <w:rsid w:val="002154F3"/>
    <w:rsid w:val="002166C9"/>
    <w:rsid w:val="00216895"/>
    <w:rsid w:val="00217074"/>
    <w:rsid w:val="002178E6"/>
    <w:rsid w:val="00220485"/>
    <w:rsid w:val="002215D4"/>
    <w:rsid w:val="0022292C"/>
    <w:rsid w:val="002243D5"/>
    <w:rsid w:val="00225B0F"/>
    <w:rsid w:val="0022771B"/>
    <w:rsid w:val="00231902"/>
    <w:rsid w:val="00241710"/>
    <w:rsid w:val="00241C02"/>
    <w:rsid w:val="00242524"/>
    <w:rsid w:val="002434A0"/>
    <w:rsid w:val="00243EA1"/>
    <w:rsid w:val="00244078"/>
    <w:rsid w:val="00250322"/>
    <w:rsid w:val="0025058B"/>
    <w:rsid w:val="00251622"/>
    <w:rsid w:val="00254E1A"/>
    <w:rsid w:val="002562A4"/>
    <w:rsid w:val="00260453"/>
    <w:rsid w:val="00260DE7"/>
    <w:rsid w:val="002624EE"/>
    <w:rsid w:val="002647BE"/>
    <w:rsid w:val="00264E47"/>
    <w:rsid w:val="002728D4"/>
    <w:rsid w:val="002750F5"/>
    <w:rsid w:val="00275E7E"/>
    <w:rsid w:val="00280446"/>
    <w:rsid w:val="00282457"/>
    <w:rsid w:val="00284B34"/>
    <w:rsid w:val="0029319C"/>
    <w:rsid w:val="00293488"/>
    <w:rsid w:val="00296E13"/>
    <w:rsid w:val="002A0F19"/>
    <w:rsid w:val="002A36C6"/>
    <w:rsid w:val="002A6087"/>
    <w:rsid w:val="002A729F"/>
    <w:rsid w:val="002B0AFF"/>
    <w:rsid w:val="002B18EA"/>
    <w:rsid w:val="002B1ACD"/>
    <w:rsid w:val="002B1E25"/>
    <w:rsid w:val="002B2E55"/>
    <w:rsid w:val="002B5D12"/>
    <w:rsid w:val="002B632B"/>
    <w:rsid w:val="002B6B66"/>
    <w:rsid w:val="002B7952"/>
    <w:rsid w:val="002C17E9"/>
    <w:rsid w:val="002C3AC3"/>
    <w:rsid w:val="002D0F0A"/>
    <w:rsid w:val="002D2E43"/>
    <w:rsid w:val="002D62C9"/>
    <w:rsid w:val="002E1B17"/>
    <w:rsid w:val="002E2A58"/>
    <w:rsid w:val="002E3E2E"/>
    <w:rsid w:val="002E75D8"/>
    <w:rsid w:val="002E7803"/>
    <w:rsid w:val="002F32A3"/>
    <w:rsid w:val="00307967"/>
    <w:rsid w:val="0031321F"/>
    <w:rsid w:val="003132D4"/>
    <w:rsid w:val="00316379"/>
    <w:rsid w:val="0032226A"/>
    <w:rsid w:val="0032486C"/>
    <w:rsid w:val="00324EEA"/>
    <w:rsid w:val="00325C9E"/>
    <w:rsid w:val="0033344A"/>
    <w:rsid w:val="00333A69"/>
    <w:rsid w:val="00336AA1"/>
    <w:rsid w:val="00337469"/>
    <w:rsid w:val="00340155"/>
    <w:rsid w:val="00344A61"/>
    <w:rsid w:val="00345800"/>
    <w:rsid w:val="0034660E"/>
    <w:rsid w:val="003468CF"/>
    <w:rsid w:val="0035269F"/>
    <w:rsid w:val="0035273B"/>
    <w:rsid w:val="00353402"/>
    <w:rsid w:val="003557A6"/>
    <w:rsid w:val="003628AA"/>
    <w:rsid w:val="003628C1"/>
    <w:rsid w:val="00362C8B"/>
    <w:rsid w:val="0036376B"/>
    <w:rsid w:val="00364345"/>
    <w:rsid w:val="0036461A"/>
    <w:rsid w:val="00366716"/>
    <w:rsid w:val="003721AE"/>
    <w:rsid w:val="0037723A"/>
    <w:rsid w:val="003803A4"/>
    <w:rsid w:val="0038096A"/>
    <w:rsid w:val="003827C7"/>
    <w:rsid w:val="00384B2F"/>
    <w:rsid w:val="00384CD9"/>
    <w:rsid w:val="00385D8C"/>
    <w:rsid w:val="00386554"/>
    <w:rsid w:val="00387B8D"/>
    <w:rsid w:val="00390E00"/>
    <w:rsid w:val="00391762"/>
    <w:rsid w:val="00391E6F"/>
    <w:rsid w:val="00391F03"/>
    <w:rsid w:val="00397AC4"/>
    <w:rsid w:val="003A0165"/>
    <w:rsid w:val="003A04D8"/>
    <w:rsid w:val="003A162C"/>
    <w:rsid w:val="003A2A9C"/>
    <w:rsid w:val="003A3537"/>
    <w:rsid w:val="003A3C81"/>
    <w:rsid w:val="003A6E3D"/>
    <w:rsid w:val="003A7BD0"/>
    <w:rsid w:val="003A7DFF"/>
    <w:rsid w:val="003B3957"/>
    <w:rsid w:val="003C1AF4"/>
    <w:rsid w:val="003C31F0"/>
    <w:rsid w:val="003D089D"/>
    <w:rsid w:val="003D1293"/>
    <w:rsid w:val="003D1D4B"/>
    <w:rsid w:val="003D3BA8"/>
    <w:rsid w:val="003D6871"/>
    <w:rsid w:val="003D6D3B"/>
    <w:rsid w:val="003D7DDA"/>
    <w:rsid w:val="003E6210"/>
    <w:rsid w:val="003E7B9E"/>
    <w:rsid w:val="003E7DD6"/>
    <w:rsid w:val="003F13C7"/>
    <w:rsid w:val="003F2704"/>
    <w:rsid w:val="003F2BEC"/>
    <w:rsid w:val="003F2E84"/>
    <w:rsid w:val="003F6E4E"/>
    <w:rsid w:val="00402236"/>
    <w:rsid w:val="00403047"/>
    <w:rsid w:val="004031D1"/>
    <w:rsid w:val="00405F93"/>
    <w:rsid w:val="004060CE"/>
    <w:rsid w:val="004067A6"/>
    <w:rsid w:val="00407728"/>
    <w:rsid w:val="00410934"/>
    <w:rsid w:val="00412E09"/>
    <w:rsid w:val="004151FF"/>
    <w:rsid w:val="00417BF9"/>
    <w:rsid w:val="00423B1B"/>
    <w:rsid w:val="004240DC"/>
    <w:rsid w:val="00425CF5"/>
    <w:rsid w:val="004260F3"/>
    <w:rsid w:val="004265BF"/>
    <w:rsid w:val="00426FF0"/>
    <w:rsid w:val="004311C0"/>
    <w:rsid w:val="00431C2B"/>
    <w:rsid w:val="004323C1"/>
    <w:rsid w:val="004333B4"/>
    <w:rsid w:val="00433636"/>
    <w:rsid w:val="00440AD8"/>
    <w:rsid w:val="00444F05"/>
    <w:rsid w:val="00445B68"/>
    <w:rsid w:val="00447AC7"/>
    <w:rsid w:val="00452B41"/>
    <w:rsid w:val="0045359D"/>
    <w:rsid w:val="004538CD"/>
    <w:rsid w:val="00454194"/>
    <w:rsid w:val="00455041"/>
    <w:rsid w:val="00457E94"/>
    <w:rsid w:val="00461CBE"/>
    <w:rsid w:val="004620E8"/>
    <w:rsid w:val="004648B5"/>
    <w:rsid w:val="00465DCB"/>
    <w:rsid w:val="004717F9"/>
    <w:rsid w:val="0047398D"/>
    <w:rsid w:val="004742B8"/>
    <w:rsid w:val="0047659B"/>
    <w:rsid w:val="00477D41"/>
    <w:rsid w:val="00482071"/>
    <w:rsid w:val="0048282B"/>
    <w:rsid w:val="00494FB4"/>
    <w:rsid w:val="004957FB"/>
    <w:rsid w:val="004A198B"/>
    <w:rsid w:val="004A2705"/>
    <w:rsid w:val="004A3008"/>
    <w:rsid w:val="004A4CEC"/>
    <w:rsid w:val="004A5382"/>
    <w:rsid w:val="004A7B9C"/>
    <w:rsid w:val="004B0173"/>
    <w:rsid w:val="004B0776"/>
    <w:rsid w:val="004B2EFB"/>
    <w:rsid w:val="004B43C8"/>
    <w:rsid w:val="004B4A59"/>
    <w:rsid w:val="004C49B6"/>
    <w:rsid w:val="004C53D5"/>
    <w:rsid w:val="004C62CF"/>
    <w:rsid w:val="004C6874"/>
    <w:rsid w:val="004D0841"/>
    <w:rsid w:val="004D0E10"/>
    <w:rsid w:val="004D2026"/>
    <w:rsid w:val="004D30E4"/>
    <w:rsid w:val="004D3BAA"/>
    <w:rsid w:val="004D6217"/>
    <w:rsid w:val="004E220C"/>
    <w:rsid w:val="004E3CA3"/>
    <w:rsid w:val="004E769E"/>
    <w:rsid w:val="004F12AB"/>
    <w:rsid w:val="004F2725"/>
    <w:rsid w:val="004F6227"/>
    <w:rsid w:val="004F74ED"/>
    <w:rsid w:val="00503F6A"/>
    <w:rsid w:val="005075D5"/>
    <w:rsid w:val="00510CF2"/>
    <w:rsid w:val="00513EA8"/>
    <w:rsid w:val="005164D1"/>
    <w:rsid w:val="00521DBC"/>
    <w:rsid w:val="00525DC1"/>
    <w:rsid w:val="00526F19"/>
    <w:rsid w:val="005273DF"/>
    <w:rsid w:val="00532FFD"/>
    <w:rsid w:val="0053369B"/>
    <w:rsid w:val="00533D3B"/>
    <w:rsid w:val="005357F3"/>
    <w:rsid w:val="005425D0"/>
    <w:rsid w:val="0054467F"/>
    <w:rsid w:val="00544A9D"/>
    <w:rsid w:val="0054655E"/>
    <w:rsid w:val="00546954"/>
    <w:rsid w:val="00546D5C"/>
    <w:rsid w:val="00550F3B"/>
    <w:rsid w:val="00551272"/>
    <w:rsid w:val="005558E8"/>
    <w:rsid w:val="00561B1A"/>
    <w:rsid w:val="00563BE0"/>
    <w:rsid w:val="00564D95"/>
    <w:rsid w:val="00570134"/>
    <w:rsid w:val="0057059C"/>
    <w:rsid w:val="00575056"/>
    <w:rsid w:val="0057648C"/>
    <w:rsid w:val="0058120C"/>
    <w:rsid w:val="00582DF2"/>
    <w:rsid w:val="00583029"/>
    <w:rsid w:val="00583932"/>
    <w:rsid w:val="00587406"/>
    <w:rsid w:val="00591C76"/>
    <w:rsid w:val="00592F97"/>
    <w:rsid w:val="0059636D"/>
    <w:rsid w:val="00596421"/>
    <w:rsid w:val="005A2BDB"/>
    <w:rsid w:val="005A48F8"/>
    <w:rsid w:val="005B0ADE"/>
    <w:rsid w:val="005B35D1"/>
    <w:rsid w:val="005B563D"/>
    <w:rsid w:val="005B5917"/>
    <w:rsid w:val="005B7063"/>
    <w:rsid w:val="005C5276"/>
    <w:rsid w:val="005C57BA"/>
    <w:rsid w:val="005C680F"/>
    <w:rsid w:val="005C7776"/>
    <w:rsid w:val="005C7FFB"/>
    <w:rsid w:val="005D6CE7"/>
    <w:rsid w:val="005D798B"/>
    <w:rsid w:val="005E3BB2"/>
    <w:rsid w:val="005E4334"/>
    <w:rsid w:val="005E7991"/>
    <w:rsid w:val="005F0987"/>
    <w:rsid w:val="005F0E75"/>
    <w:rsid w:val="005F1D84"/>
    <w:rsid w:val="005F2FDA"/>
    <w:rsid w:val="005F3F7A"/>
    <w:rsid w:val="005F4CB5"/>
    <w:rsid w:val="005F5003"/>
    <w:rsid w:val="00603A37"/>
    <w:rsid w:val="00604E76"/>
    <w:rsid w:val="00604E97"/>
    <w:rsid w:val="00610F32"/>
    <w:rsid w:val="00613DDC"/>
    <w:rsid w:val="006145F0"/>
    <w:rsid w:val="0061492A"/>
    <w:rsid w:val="0061492D"/>
    <w:rsid w:val="0061694B"/>
    <w:rsid w:val="006225F3"/>
    <w:rsid w:val="006249D5"/>
    <w:rsid w:val="00624E87"/>
    <w:rsid w:val="006250FF"/>
    <w:rsid w:val="006260EA"/>
    <w:rsid w:val="006308CF"/>
    <w:rsid w:val="00635382"/>
    <w:rsid w:val="006356ED"/>
    <w:rsid w:val="00635F6D"/>
    <w:rsid w:val="006368C2"/>
    <w:rsid w:val="006406E2"/>
    <w:rsid w:val="00643D3F"/>
    <w:rsid w:val="00645D29"/>
    <w:rsid w:val="00650499"/>
    <w:rsid w:val="00652976"/>
    <w:rsid w:val="00655106"/>
    <w:rsid w:val="0066401B"/>
    <w:rsid w:val="00664DBA"/>
    <w:rsid w:val="006715B7"/>
    <w:rsid w:val="0067247C"/>
    <w:rsid w:val="00675341"/>
    <w:rsid w:val="00675A2E"/>
    <w:rsid w:val="006765FB"/>
    <w:rsid w:val="00676E50"/>
    <w:rsid w:val="00681B5A"/>
    <w:rsid w:val="00681C84"/>
    <w:rsid w:val="00682FB6"/>
    <w:rsid w:val="00685BAE"/>
    <w:rsid w:val="00690DDF"/>
    <w:rsid w:val="00691F97"/>
    <w:rsid w:val="00692F21"/>
    <w:rsid w:val="006A0CC1"/>
    <w:rsid w:val="006A165C"/>
    <w:rsid w:val="006A2658"/>
    <w:rsid w:val="006A3042"/>
    <w:rsid w:val="006A4A4A"/>
    <w:rsid w:val="006A6CBF"/>
    <w:rsid w:val="006B12A5"/>
    <w:rsid w:val="006B3AC2"/>
    <w:rsid w:val="006C12F5"/>
    <w:rsid w:val="006C1F41"/>
    <w:rsid w:val="006C2DD5"/>
    <w:rsid w:val="006C3BD3"/>
    <w:rsid w:val="006D0B53"/>
    <w:rsid w:val="006D4144"/>
    <w:rsid w:val="006D54A9"/>
    <w:rsid w:val="006D6408"/>
    <w:rsid w:val="006E1008"/>
    <w:rsid w:val="006E3EB3"/>
    <w:rsid w:val="006E54F0"/>
    <w:rsid w:val="006E6122"/>
    <w:rsid w:val="006E70C4"/>
    <w:rsid w:val="006E7278"/>
    <w:rsid w:val="006F0CD4"/>
    <w:rsid w:val="006F4322"/>
    <w:rsid w:val="006F6CAD"/>
    <w:rsid w:val="00700C64"/>
    <w:rsid w:val="007041BE"/>
    <w:rsid w:val="00710076"/>
    <w:rsid w:val="0071157D"/>
    <w:rsid w:val="00714FAD"/>
    <w:rsid w:val="00715249"/>
    <w:rsid w:val="0071614D"/>
    <w:rsid w:val="00716CF2"/>
    <w:rsid w:val="00717837"/>
    <w:rsid w:val="007211C9"/>
    <w:rsid w:val="007236DA"/>
    <w:rsid w:val="007253D2"/>
    <w:rsid w:val="0072680E"/>
    <w:rsid w:val="007277D4"/>
    <w:rsid w:val="0072792D"/>
    <w:rsid w:val="00734CD8"/>
    <w:rsid w:val="007354A6"/>
    <w:rsid w:val="00736F63"/>
    <w:rsid w:val="007406E3"/>
    <w:rsid w:val="00740DC5"/>
    <w:rsid w:val="00741C51"/>
    <w:rsid w:val="00741CB4"/>
    <w:rsid w:val="00744FED"/>
    <w:rsid w:val="00747210"/>
    <w:rsid w:val="00750E15"/>
    <w:rsid w:val="00751702"/>
    <w:rsid w:val="007520CC"/>
    <w:rsid w:val="0075400D"/>
    <w:rsid w:val="007549B1"/>
    <w:rsid w:val="00755423"/>
    <w:rsid w:val="007571B2"/>
    <w:rsid w:val="00761264"/>
    <w:rsid w:val="0076344D"/>
    <w:rsid w:val="00763BB4"/>
    <w:rsid w:val="0076546F"/>
    <w:rsid w:val="00776976"/>
    <w:rsid w:val="007775FC"/>
    <w:rsid w:val="00777F86"/>
    <w:rsid w:val="00780646"/>
    <w:rsid w:val="007812C9"/>
    <w:rsid w:val="00784288"/>
    <w:rsid w:val="00784FFA"/>
    <w:rsid w:val="00786294"/>
    <w:rsid w:val="00786B37"/>
    <w:rsid w:val="00790042"/>
    <w:rsid w:val="00790247"/>
    <w:rsid w:val="007914F6"/>
    <w:rsid w:val="00791E2D"/>
    <w:rsid w:val="007938AC"/>
    <w:rsid w:val="00793C95"/>
    <w:rsid w:val="00795797"/>
    <w:rsid w:val="007A54AE"/>
    <w:rsid w:val="007A54E3"/>
    <w:rsid w:val="007A5A50"/>
    <w:rsid w:val="007A5E13"/>
    <w:rsid w:val="007B2CDF"/>
    <w:rsid w:val="007B2EDD"/>
    <w:rsid w:val="007B3DAA"/>
    <w:rsid w:val="007B6B41"/>
    <w:rsid w:val="007C1694"/>
    <w:rsid w:val="007C2DEF"/>
    <w:rsid w:val="007C7A5F"/>
    <w:rsid w:val="007D291E"/>
    <w:rsid w:val="007D68A7"/>
    <w:rsid w:val="007E0B94"/>
    <w:rsid w:val="007E101D"/>
    <w:rsid w:val="007E20CB"/>
    <w:rsid w:val="007E2FB8"/>
    <w:rsid w:val="007E433D"/>
    <w:rsid w:val="007F0C96"/>
    <w:rsid w:val="007F3C86"/>
    <w:rsid w:val="007F4F97"/>
    <w:rsid w:val="007F643E"/>
    <w:rsid w:val="007F7F8B"/>
    <w:rsid w:val="00800D7E"/>
    <w:rsid w:val="008067FB"/>
    <w:rsid w:val="00807138"/>
    <w:rsid w:val="008078B1"/>
    <w:rsid w:val="00811DF8"/>
    <w:rsid w:val="00812C3C"/>
    <w:rsid w:val="0081395D"/>
    <w:rsid w:val="0081665A"/>
    <w:rsid w:val="00816F2C"/>
    <w:rsid w:val="00823D77"/>
    <w:rsid w:val="008254AE"/>
    <w:rsid w:val="00826AE3"/>
    <w:rsid w:val="00833D16"/>
    <w:rsid w:val="008356D2"/>
    <w:rsid w:val="00841429"/>
    <w:rsid w:val="008447DA"/>
    <w:rsid w:val="008466A1"/>
    <w:rsid w:val="008478EB"/>
    <w:rsid w:val="008507BB"/>
    <w:rsid w:val="008531C8"/>
    <w:rsid w:val="00855168"/>
    <w:rsid w:val="0085728D"/>
    <w:rsid w:val="008604BE"/>
    <w:rsid w:val="00861BAF"/>
    <w:rsid w:val="00862AF5"/>
    <w:rsid w:val="008645D8"/>
    <w:rsid w:val="00866AD1"/>
    <w:rsid w:val="0086726E"/>
    <w:rsid w:val="00877620"/>
    <w:rsid w:val="00881719"/>
    <w:rsid w:val="0088235F"/>
    <w:rsid w:val="008841DD"/>
    <w:rsid w:val="00886804"/>
    <w:rsid w:val="00886EE8"/>
    <w:rsid w:val="008921C2"/>
    <w:rsid w:val="00892DE9"/>
    <w:rsid w:val="00893A4E"/>
    <w:rsid w:val="00893B79"/>
    <w:rsid w:val="008A0CD7"/>
    <w:rsid w:val="008A37E7"/>
    <w:rsid w:val="008A52C0"/>
    <w:rsid w:val="008A5B69"/>
    <w:rsid w:val="008A7B6E"/>
    <w:rsid w:val="008B2104"/>
    <w:rsid w:val="008B306F"/>
    <w:rsid w:val="008B4DFE"/>
    <w:rsid w:val="008B5ED0"/>
    <w:rsid w:val="008C6C04"/>
    <w:rsid w:val="008D140E"/>
    <w:rsid w:val="008D16D0"/>
    <w:rsid w:val="008D33BC"/>
    <w:rsid w:val="008D6975"/>
    <w:rsid w:val="008E228F"/>
    <w:rsid w:val="008E73C9"/>
    <w:rsid w:val="008F1D8C"/>
    <w:rsid w:val="008F226C"/>
    <w:rsid w:val="008F2CA8"/>
    <w:rsid w:val="00902EDC"/>
    <w:rsid w:val="00902FE3"/>
    <w:rsid w:val="009051E1"/>
    <w:rsid w:val="0090567D"/>
    <w:rsid w:val="009064FD"/>
    <w:rsid w:val="009073D0"/>
    <w:rsid w:val="00907518"/>
    <w:rsid w:val="0091121D"/>
    <w:rsid w:val="009144FF"/>
    <w:rsid w:val="0091496D"/>
    <w:rsid w:val="00916B07"/>
    <w:rsid w:val="00917A1A"/>
    <w:rsid w:val="00920A6D"/>
    <w:rsid w:val="00921369"/>
    <w:rsid w:val="009217DF"/>
    <w:rsid w:val="0092319F"/>
    <w:rsid w:val="00932071"/>
    <w:rsid w:val="009345C8"/>
    <w:rsid w:val="009376C0"/>
    <w:rsid w:val="00943D28"/>
    <w:rsid w:val="00946001"/>
    <w:rsid w:val="00946D0B"/>
    <w:rsid w:val="00951A3A"/>
    <w:rsid w:val="00955CD3"/>
    <w:rsid w:val="009612AB"/>
    <w:rsid w:val="009625EF"/>
    <w:rsid w:val="00962B3D"/>
    <w:rsid w:val="00962E93"/>
    <w:rsid w:val="00966AFB"/>
    <w:rsid w:val="00967029"/>
    <w:rsid w:val="00967BDC"/>
    <w:rsid w:val="00973A56"/>
    <w:rsid w:val="00977858"/>
    <w:rsid w:val="00977B12"/>
    <w:rsid w:val="009802D6"/>
    <w:rsid w:val="0098126D"/>
    <w:rsid w:val="0098262F"/>
    <w:rsid w:val="0098278A"/>
    <w:rsid w:val="00982AA8"/>
    <w:rsid w:val="00984B77"/>
    <w:rsid w:val="00985304"/>
    <w:rsid w:val="009854F0"/>
    <w:rsid w:val="009862BB"/>
    <w:rsid w:val="009864E4"/>
    <w:rsid w:val="009868A7"/>
    <w:rsid w:val="00991077"/>
    <w:rsid w:val="00992482"/>
    <w:rsid w:val="0099405B"/>
    <w:rsid w:val="00994275"/>
    <w:rsid w:val="00997BC1"/>
    <w:rsid w:val="009A04EA"/>
    <w:rsid w:val="009A0D08"/>
    <w:rsid w:val="009A1E53"/>
    <w:rsid w:val="009B1F51"/>
    <w:rsid w:val="009B3C10"/>
    <w:rsid w:val="009B560B"/>
    <w:rsid w:val="009B643A"/>
    <w:rsid w:val="009B65A0"/>
    <w:rsid w:val="009B7A1E"/>
    <w:rsid w:val="009C055D"/>
    <w:rsid w:val="009C0A51"/>
    <w:rsid w:val="009C30F3"/>
    <w:rsid w:val="009C3CDD"/>
    <w:rsid w:val="009C4298"/>
    <w:rsid w:val="009C7B95"/>
    <w:rsid w:val="009D10B7"/>
    <w:rsid w:val="009D2BAA"/>
    <w:rsid w:val="009D500C"/>
    <w:rsid w:val="009D5C9B"/>
    <w:rsid w:val="009D6A0A"/>
    <w:rsid w:val="009D6E1D"/>
    <w:rsid w:val="009E09E6"/>
    <w:rsid w:val="009E3142"/>
    <w:rsid w:val="009F0331"/>
    <w:rsid w:val="009F0409"/>
    <w:rsid w:val="009F22BD"/>
    <w:rsid w:val="009F2A19"/>
    <w:rsid w:val="009F2DF7"/>
    <w:rsid w:val="009F4365"/>
    <w:rsid w:val="009F5A85"/>
    <w:rsid w:val="009F765E"/>
    <w:rsid w:val="00A02CD6"/>
    <w:rsid w:val="00A0591D"/>
    <w:rsid w:val="00A12FF2"/>
    <w:rsid w:val="00A13178"/>
    <w:rsid w:val="00A1320D"/>
    <w:rsid w:val="00A15F18"/>
    <w:rsid w:val="00A21295"/>
    <w:rsid w:val="00A24222"/>
    <w:rsid w:val="00A246E6"/>
    <w:rsid w:val="00A24A91"/>
    <w:rsid w:val="00A25112"/>
    <w:rsid w:val="00A25C29"/>
    <w:rsid w:val="00A26C50"/>
    <w:rsid w:val="00A336C5"/>
    <w:rsid w:val="00A33B7A"/>
    <w:rsid w:val="00A35168"/>
    <w:rsid w:val="00A37967"/>
    <w:rsid w:val="00A4251A"/>
    <w:rsid w:val="00A4327F"/>
    <w:rsid w:val="00A443DD"/>
    <w:rsid w:val="00A44C48"/>
    <w:rsid w:val="00A45568"/>
    <w:rsid w:val="00A46540"/>
    <w:rsid w:val="00A510FF"/>
    <w:rsid w:val="00A52CD5"/>
    <w:rsid w:val="00A53BF9"/>
    <w:rsid w:val="00A56118"/>
    <w:rsid w:val="00A5635B"/>
    <w:rsid w:val="00A57002"/>
    <w:rsid w:val="00A577AE"/>
    <w:rsid w:val="00A60FFD"/>
    <w:rsid w:val="00A65928"/>
    <w:rsid w:val="00A66F01"/>
    <w:rsid w:val="00A70018"/>
    <w:rsid w:val="00A708C3"/>
    <w:rsid w:val="00A70DE8"/>
    <w:rsid w:val="00A728AA"/>
    <w:rsid w:val="00A739EC"/>
    <w:rsid w:val="00A766D4"/>
    <w:rsid w:val="00A77C77"/>
    <w:rsid w:val="00A80098"/>
    <w:rsid w:val="00A821B4"/>
    <w:rsid w:val="00A8382D"/>
    <w:rsid w:val="00A83A25"/>
    <w:rsid w:val="00A8480B"/>
    <w:rsid w:val="00A91384"/>
    <w:rsid w:val="00A922EE"/>
    <w:rsid w:val="00AA210F"/>
    <w:rsid w:val="00AA3383"/>
    <w:rsid w:val="00AA54B0"/>
    <w:rsid w:val="00AA7EDB"/>
    <w:rsid w:val="00AB0252"/>
    <w:rsid w:val="00AB2342"/>
    <w:rsid w:val="00AB2364"/>
    <w:rsid w:val="00AB2A7C"/>
    <w:rsid w:val="00AB78C0"/>
    <w:rsid w:val="00AB7B88"/>
    <w:rsid w:val="00AC0BE7"/>
    <w:rsid w:val="00AC297D"/>
    <w:rsid w:val="00AC5029"/>
    <w:rsid w:val="00AC5195"/>
    <w:rsid w:val="00AC5D74"/>
    <w:rsid w:val="00AC7993"/>
    <w:rsid w:val="00AD2406"/>
    <w:rsid w:val="00AD27A7"/>
    <w:rsid w:val="00AD3910"/>
    <w:rsid w:val="00AD7260"/>
    <w:rsid w:val="00AE233B"/>
    <w:rsid w:val="00AE35C0"/>
    <w:rsid w:val="00AE5619"/>
    <w:rsid w:val="00AE5C60"/>
    <w:rsid w:val="00AE5C72"/>
    <w:rsid w:val="00AE618E"/>
    <w:rsid w:val="00AE71C1"/>
    <w:rsid w:val="00AF5864"/>
    <w:rsid w:val="00AF6996"/>
    <w:rsid w:val="00AF783E"/>
    <w:rsid w:val="00AF7F42"/>
    <w:rsid w:val="00B024AF"/>
    <w:rsid w:val="00B02FD7"/>
    <w:rsid w:val="00B04370"/>
    <w:rsid w:val="00B04822"/>
    <w:rsid w:val="00B058CD"/>
    <w:rsid w:val="00B130A5"/>
    <w:rsid w:val="00B13311"/>
    <w:rsid w:val="00B13B40"/>
    <w:rsid w:val="00B1541C"/>
    <w:rsid w:val="00B1740F"/>
    <w:rsid w:val="00B2085E"/>
    <w:rsid w:val="00B21CCD"/>
    <w:rsid w:val="00B21F27"/>
    <w:rsid w:val="00B24AE4"/>
    <w:rsid w:val="00B30699"/>
    <w:rsid w:val="00B31C8A"/>
    <w:rsid w:val="00B31DD2"/>
    <w:rsid w:val="00B331DD"/>
    <w:rsid w:val="00B33B53"/>
    <w:rsid w:val="00B36C36"/>
    <w:rsid w:val="00B36DDF"/>
    <w:rsid w:val="00B43D68"/>
    <w:rsid w:val="00B453C1"/>
    <w:rsid w:val="00B46A09"/>
    <w:rsid w:val="00B50AA5"/>
    <w:rsid w:val="00B50C1C"/>
    <w:rsid w:val="00B5122A"/>
    <w:rsid w:val="00B52A55"/>
    <w:rsid w:val="00B57AAD"/>
    <w:rsid w:val="00B603C8"/>
    <w:rsid w:val="00B614F5"/>
    <w:rsid w:val="00B6200B"/>
    <w:rsid w:val="00B62CDB"/>
    <w:rsid w:val="00B648FE"/>
    <w:rsid w:val="00B662DD"/>
    <w:rsid w:val="00B66C19"/>
    <w:rsid w:val="00B670DF"/>
    <w:rsid w:val="00B738A8"/>
    <w:rsid w:val="00B74BBB"/>
    <w:rsid w:val="00B7672D"/>
    <w:rsid w:val="00B77666"/>
    <w:rsid w:val="00B77EB7"/>
    <w:rsid w:val="00B810BE"/>
    <w:rsid w:val="00B82E2E"/>
    <w:rsid w:val="00B850DB"/>
    <w:rsid w:val="00B852EF"/>
    <w:rsid w:val="00B856C2"/>
    <w:rsid w:val="00B863B9"/>
    <w:rsid w:val="00B86B12"/>
    <w:rsid w:val="00B86BFD"/>
    <w:rsid w:val="00B87C1C"/>
    <w:rsid w:val="00B9014B"/>
    <w:rsid w:val="00B90B99"/>
    <w:rsid w:val="00B918AB"/>
    <w:rsid w:val="00B92264"/>
    <w:rsid w:val="00B943D7"/>
    <w:rsid w:val="00B9549B"/>
    <w:rsid w:val="00B96059"/>
    <w:rsid w:val="00B96127"/>
    <w:rsid w:val="00B97483"/>
    <w:rsid w:val="00BA2B99"/>
    <w:rsid w:val="00BA4E65"/>
    <w:rsid w:val="00BA5A0D"/>
    <w:rsid w:val="00BA6001"/>
    <w:rsid w:val="00BB0CEF"/>
    <w:rsid w:val="00BB1A25"/>
    <w:rsid w:val="00BB269F"/>
    <w:rsid w:val="00BB4CBE"/>
    <w:rsid w:val="00BC5A22"/>
    <w:rsid w:val="00BC622A"/>
    <w:rsid w:val="00BC770A"/>
    <w:rsid w:val="00BC77AB"/>
    <w:rsid w:val="00BC7CBD"/>
    <w:rsid w:val="00BD1F6E"/>
    <w:rsid w:val="00BD26F3"/>
    <w:rsid w:val="00BD3A2E"/>
    <w:rsid w:val="00BD3AEA"/>
    <w:rsid w:val="00BD59EF"/>
    <w:rsid w:val="00BE1E25"/>
    <w:rsid w:val="00BE49C4"/>
    <w:rsid w:val="00BE6D8D"/>
    <w:rsid w:val="00BF06A4"/>
    <w:rsid w:val="00BF15D6"/>
    <w:rsid w:val="00BF4850"/>
    <w:rsid w:val="00BF671C"/>
    <w:rsid w:val="00BF7EAB"/>
    <w:rsid w:val="00C00ED1"/>
    <w:rsid w:val="00C03D52"/>
    <w:rsid w:val="00C076FE"/>
    <w:rsid w:val="00C0795C"/>
    <w:rsid w:val="00C1137B"/>
    <w:rsid w:val="00C118E3"/>
    <w:rsid w:val="00C11F27"/>
    <w:rsid w:val="00C132A4"/>
    <w:rsid w:val="00C16CB0"/>
    <w:rsid w:val="00C172F8"/>
    <w:rsid w:val="00C21747"/>
    <w:rsid w:val="00C21FC5"/>
    <w:rsid w:val="00C22616"/>
    <w:rsid w:val="00C31DAB"/>
    <w:rsid w:val="00C32BC9"/>
    <w:rsid w:val="00C35753"/>
    <w:rsid w:val="00C43EE8"/>
    <w:rsid w:val="00C44F5F"/>
    <w:rsid w:val="00C460EC"/>
    <w:rsid w:val="00C505EC"/>
    <w:rsid w:val="00C541E0"/>
    <w:rsid w:val="00C5699D"/>
    <w:rsid w:val="00C64457"/>
    <w:rsid w:val="00C6467B"/>
    <w:rsid w:val="00C64AB4"/>
    <w:rsid w:val="00C64F10"/>
    <w:rsid w:val="00C72964"/>
    <w:rsid w:val="00C75D93"/>
    <w:rsid w:val="00C80731"/>
    <w:rsid w:val="00C82CB9"/>
    <w:rsid w:val="00C83257"/>
    <w:rsid w:val="00C8636B"/>
    <w:rsid w:val="00C9117D"/>
    <w:rsid w:val="00C93BF5"/>
    <w:rsid w:val="00C93FA6"/>
    <w:rsid w:val="00C940FA"/>
    <w:rsid w:val="00C95378"/>
    <w:rsid w:val="00C96888"/>
    <w:rsid w:val="00C96F0E"/>
    <w:rsid w:val="00C97BEF"/>
    <w:rsid w:val="00CA0912"/>
    <w:rsid w:val="00CA099D"/>
    <w:rsid w:val="00CA5E9E"/>
    <w:rsid w:val="00CB023F"/>
    <w:rsid w:val="00CB20D5"/>
    <w:rsid w:val="00CB2A6C"/>
    <w:rsid w:val="00CB4074"/>
    <w:rsid w:val="00CB4504"/>
    <w:rsid w:val="00CB52BB"/>
    <w:rsid w:val="00CC1F1F"/>
    <w:rsid w:val="00CC44B8"/>
    <w:rsid w:val="00CC4948"/>
    <w:rsid w:val="00CC4FD7"/>
    <w:rsid w:val="00CC6780"/>
    <w:rsid w:val="00CC6D2D"/>
    <w:rsid w:val="00CD0381"/>
    <w:rsid w:val="00CD0617"/>
    <w:rsid w:val="00CD06B0"/>
    <w:rsid w:val="00CD23C1"/>
    <w:rsid w:val="00CD7A9A"/>
    <w:rsid w:val="00CE1511"/>
    <w:rsid w:val="00CE3720"/>
    <w:rsid w:val="00CE4715"/>
    <w:rsid w:val="00CE4E69"/>
    <w:rsid w:val="00CE6C7E"/>
    <w:rsid w:val="00CE7B98"/>
    <w:rsid w:val="00CF4126"/>
    <w:rsid w:val="00CF7427"/>
    <w:rsid w:val="00CF77DA"/>
    <w:rsid w:val="00CF79E4"/>
    <w:rsid w:val="00D00C22"/>
    <w:rsid w:val="00D039B3"/>
    <w:rsid w:val="00D055DB"/>
    <w:rsid w:val="00D06D2D"/>
    <w:rsid w:val="00D078E1"/>
    <w:rsid w:val="00D112B3"/>
    <w:rsid w:val="00D12A3D"/>
    <w:rsid w:val="00D14DA1"/>
    <w:rsid w:val="00D16258"/>
    <w:rsid w:val="00D168ED"/>
    <w:rsid w:val="00D20C0B"/>
    <w:rsid w:val="00D21D39"/>
    <w:rsid w:val="00D21D3D"/>
    <w:rsid w:val="00D22F21"/>
    <w:rsid w:val="00D23D53"/>
    <w:rsid w:val="00D2401A"/>
    <w:rsid w:val="00D243EC"/>
    <w:rsid w:val="00D24923"/>
    <w:rsid w:val="00D27D24"/>
    <w:rsid w:val="00D27F8E"/>
    <w:rsid w:val="00D302EC"/>
    <w:rsid w:val="00D32730"/>
    <w:rsid w:val="00D35965"/>
    <w:rsid w:val="00D41847"/>
    <w:rsid w:val="00D4326B"/>
    <w:rsid w:val="00D43795"/>
    <w:rsid w:val="00D43D3B"/>
    <w:rsid w:val="00D43D4F"/>
    <w:rsid w:val="00D472B3"/>
    <w:rsid w:val="00D50A50"/>
    <w:rsid w:val="00D533FF"/>
    <w:rsid w:val="00D60493"/>
    <w:rsid w:val="00D62927"/>
    <w:rsid w:val="00D63612"/>
    <w:rsid w:val="00D63ACA"/>
    <w:rsid w:val="00D678C1"/>
    <w:rsid w:val="00D717F9"/>
    <w:rsid w:val="00D71CBC"/>
    <w:rsid w:val="00D75D4B"/>
    <w:rsid w:val="00D75FD9"/>
    <w:rsid w:val="00D77640"/>
    <w:rsid w:val="00D77E6E"/>
    <w:rsid w:val="00D80391"/>
    <w:rsid w:val="00D8194F"/>
    <w:rsid w:val="00D83A12"/>
    <w:rsid w:val="00D83BD7"/>
    <w:rsid w:val="00D84822"/>
    <w:rsid w:val="00D94B8F"/>
    <w:rsid w:val="00D94EC0"/>
    <w:rsid w:val="00D9512E"/>
    <w:rsid w:val="00D95394"/>
    <w:rsid w:val="00D956BC"/>
    <w:rsid w:val="00D95985"/>
    <w:rsid w:val="00D96B83"/>
    <w:rsid w:val="00D97DA7"/>
    <w:rsid w:val="00DA152A"/>
    <w:rsid w:val="00DA6A5F"/>
    <w:rsid w:val="00DB031F"/>
    <w:rsid w:val="00DB0C19"/>
    <w:rsid w:val="00DB170E"/>
    <w:rsid w:val="00DB1929"/>
    <w:rsid w:val="00DB221B"/>
    <w:rsid w:val="00DB246E"/>
    <w:rsid w:val="00DB4BF5"/>
    <w:rsid w:val="00DB7E00"/>
    <w:rsid w:val="00DC011D"/>
    <w:rsid w:val="00DC0452"/>
    <w:rsid w:val="00DC267B"/>
    <w:rsid w:val="00DC30DA"/>
    <w:rsid w:val="00DC3B3C"/>
    <w:rsid w:val="00DC532A"/>
    <w:rsid w:val="00DC58CD"/>
    <w:rsid w:val="00DC5A64"/>
    <w:rsid w:val="00DC744D"/>
    <w:rsid w:val="00DC77C1"/>
    <w:rsid w:val="00DD1DA1"/>
    <w:rsid w:val="00DD464B"/>
    <w:rsid w:val="00DD4BE8"/>
    <w:rsid w:val="00DE117F"/>
    <w:rsid w:val="00DE18C0"/>
    <w:rsid w:val="00DE1D77"/>
    <w:rsid w:val="00DE36E9"/>
    <w:rsid w:val="00DE40EB"/>
    <w:rsid w:val="00DE5235"/>
    <w:rsid w:val="00DE61F8"/>
    <w:rsid w:val="00DE7823"/>
    <w:rsid w:val="00DF14B0"/>
    <w:rsid w:val="00DF2DD6"/>
    <w:rsid w:val="00DF3C8D"/>
    <w:rsid w:val="00DF5188"/>
    <w:rsid w:val="00DF6396"/>
    <w:rsid w:val="00DF6D5A"/>
    <w:rsid w:val="00DF7FB9"/>
    <w:rsid w:val="00E00338"/>
    <w:rsid w:val="00E01CF9"/>
    <w:rsid w:val="00E06577"/>
    <w:rsid w:val="00E10855"/>
    <w:rsid w:val="00E120C7"/>
    <w:rsid w:val="00E126C5"/>
    <w:rsid w:val="00E130D9"/>
    <w:rsid w:val="00E13250"/>
    <w:rsid w:val="00E14DF3"/>
    <w:rsid w:val="00E2027E"/>
    <w:rsid w:val="00E218BE"/>
    <w:rsid w:val="00E22F5F"/>
    <w:rsid w:val="00E23EF6"/>
    <w:rsid w:val="00E2661A"/>
    <w:rsid w:val="00E346DE"/>
    <w:rsid w:val="00E348AC"/>
    <w:rsid w:val="00E34F04"/>
    <w:rsid w:val="00E35650"/>
    <w:rsid w:val="00E3628F"/>
    <w:rsid w:val="00E4026B"/>
    <w:rsid w:val="00E50511"/>
    <w:rsid w:val="00E50686"/>
    <w:rsid w:val="00E5642F"/>
    <w:rsid w:val="00E62DD8"/>
    <w:rsid w:val="00E647A7"/>
    <w:rsid w:val="00E65C94"/>
    <w:rsid w:val="00E66B91"/>
    <w:rsid w:val="00E66EBF"/>
    <w:rsid w:val="00E6729A"/>
    <w:rsid w:val="00E67991"/>
    <w:rsid w:val="00E72B5D"/>
    <w:rsid w:val="00E77988"/>
    <w:rsid w:val="00E808C7"/>
    <w:rsid w:val="00E80C38"/>
    <w:rsid w:val="00E856E1"/>
    <w:rsid w:val="00E903B8"/>
    <w:rsid w:val="00E96DB1"/>
    <w:rsid w:val="00EA04BF"/>
    <w:rsid w:val="00EA1D5F"/>
    <w:rsid w:val="00EA3A09"/>
    <w:rsid w:val="00EA4BBA"/>
    <w:rsid w:val="00EA61E9"/>
    <w:rsid w:val="00EB48A5"/>
    <w:rsid w:val="00EB5FC9"/>
    <w:rsid w:val="00EB72EB"/>
    <w:rsid w:val="00EB75C4"/>
    <w:rsid w:val="00EC0869"/>
    <w:rsid w:val="00EC2BA4"/>
    <w:rsid w:val="00EC4FE7"/>
    <w:rsid w:val="00EC50AE"/>
    <w:rsid w:val="00EC522D"/>
    <w:rsid w:val="00ED1FF4"/>
    <w:rsid w:val="00ED3B05"/>
    <w:rsid w:val="00ED6C8F"/>
    <w:rsid w:val="00ED7FDC"/>
    <w:rsid w:val="00EE0683"/>
    <w:rsid w:val="00EE1B33"/>
    <w:rsid w:val="00EE33C8"/>
    <w:rsid w:val="00EE436B"/>
    <w:rsid w:val="00EE5B05"/>
    <w:rsid w:val="00EF0E93"/>
    <w:rsid w:val="00EF2D07"/>
    <w:rsid w:val="00EF4240"/>
    <w:rsid w:val="00EF49DE"/>
    <w:rsid w:val="00EF50B9"/>
    <w:rsid w:val="00EF5625"/>
    <w:rsid w:val="00F00E77"/>
    <w:rsid w:val="00F03725"/>
    <w:rsid w:val="00F077CD"/>
    <w:rsid w:val="00F07DD5"/>
    <w:rsid w:val="00F11C06"/>
    <w:rsid w:val="00F13180"/>
    <w:rsid w:val="00F14B69"/>
    <w:rsid w:val="00F1781D"/>
    <w:rsid w:val="00F17A96"/>
    <w:rsid w:val="00F21F41"/>
    <w:rsid w:val="00F221A5"/>
    <w:rsid w:val="00F25518"/>
    <w:rsid w:val="00F27697"/>
    <w:rsid w:val="00F348E0"/>
    <w:rsid w:val="00F35CDF"/>
    <w:rsid w:val="00F360B4"/>
    <w:rsid w:val="00F3708D"/>
    <w:rsid w:val="00F3774D"/>
    <w:rsid w:val="00F43FDB"/>
    <w:rsid w:val="00F4406F"/>
    <w:rsid w:val="00F44EC1"/>
    <w:rsid w:val="00F47B8F"/>
    <w:rsid w:val="00F51638"/>
    <w:rsid w:val="00F5273B"/>
    <w:rsid w:val="00F53CA3"/>
    <w:rsid w:val="00F55875"/>
    <w:rsid w:val="00F576B4"/>
    <w:rsid w:val="00F6040D"/>
    <w:rsid w:val="00F644E8"/>
    <w:rsid w:val="00F65365"/>
    <w:rsid w:val="00F67897"/>
    <w:rsid w:val="00F76360"/>
    <w:rsid w:val="00F8250A"/>
    <w:rsid w:val="00F82A98"/>
    <w:rsid w:val="00F84628"/>
    <w:rsid w:val="00F964B1"/>
    <w:rsid w:val="00FA27EE"/>
    <w:rsid w:val="00FA4E28"/>
    <w:rsid w:val="00FA52C4"/>
    <w:rsid w:val="00FA6F00"/>
    <w:rsid w:val="00FB13D1"/>
    <w:rsid w:val="00FB21A4"/>
    <w:rsid w:val="00FB2B78"/>
    <w:rsid w:val="00FB523A"/>
    <w:rsid w:val="00FB572B"/>
    <w:rsid w:val="00FB7744"/>
    <w:rsid w:val="00FB779A"/>
    <w:rsid w:val="00FC021F"/>
    <w:rsid w:val="00FC04E3"/>
    <w:rsid w:val="00FC19A3"/>
    <w:rsid w:val="00FC4B99"/>
    <w:rsid w:val="00FC5B22"/>
    <w:rsid w:val="00FC76DB"/>
    <w:rsid w:val="00FD02A3"/>
    <w:rsid w:val="00FD03F6"/>
    <w:rsid w:val="00FD1FCA"/>
    <w:rsid w:val="00FD5E50"/>
    <w:rsid w:val="00FE0281"/>
    <w:rsid w:val="00FE0339"/>
    <w:rsid w:val="00FE1880"/>
    <w:rsid w:val="00FE3798"/>
    <w:rsid w:val="00FF50EC"/>
    <w:rsid w:val="00FF5584"/>
    <w:rsid w:val="00FF5D5A"/>
    <w:rsid w:val="00FF71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rules v:ext="edit">
        <o:r id="V:Rule3" type="connector" idref="#_x0000_s1027"/>
        <o:r id="V:Rule4" type="connector" idref="#_x0000_s1026"/>
      </o:rules>
    </o:shapelayout>
  </w:shapeDefaults>
  <w:decimalSymbol w:val="."/>
  <w:listSeparator w:val=","/>
  <w14:docId w14:val="686E740D"/>
  <w15:docId w15:val="{E292D8E9-DF3A-4EA2-8F20-D415A691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385"/>
    <w:rPr>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FB6"/>
    <w:rPr>
      <w:rFonts w:ascii="Segoe UI" w:hAnsi="Segoe UI" w:cs="Times New Roman"/>
      <w:sz w:val="18"/>
      <w:szCs w:val="18"/>
    </w:rPr>
  </w:style>
  <w:style w:type="character" w:customStyle="1" w:styleId="BalloonTextChar">
    <w:name w:val="Balloon Text Char"/>
    <w:link w:val="BalloonText"/>
    <w:uiPriority w:val="99"/>
    <w:semiHidden/>
    <w:rsid w:val="00682FB6"/>
    <w:rPr>
      <w:rFonts w:ascii="Segoe UI" w:hAnsi="Segoe UI" w:cs="Segoe UI"/>
      <w:sz w:val="18"/>
      <w:szCs w:val="18"/>
    </w:rPr>
  </w:style>
  <w:style w:type="paragraph" w:styleId="Header">
    <w:name w:val="header"/>
    <w:basedOn w:val="Normal"/>
    <w:link w:val="HeaderChar"/>
    <w:uiPriority w:val="99"/>
    <w:unhideWhenUsed/>
    <w:rsid w:val="00682FB6"/>
    <w:pPr>
      <w:tabs>
        <w:tab w:val="center" w:pos="4680"/>
        <w:tab w:val="right" w:pos="9360"/>
      </w:tabs>
    </w:pPr>
  </w:style>
  <w:style w:type="character" w:customStyle="1" w:styleId="HeaderChar">
    <w:name w:val="Header Char"/>
    <w:basedOn w:val="DefaultParagraphFont"/>
    <w:link w:val="Header"/>
    <w:uiPriority w:val="99"/>
    <w:rsid w:val="00682FB6"/>
  </w:style>
  <w:style w:type="paragraph" w:styleId="Footer">
    <w:name w:val="footer"/>
    <w:basedOn w:val="Normal"/>
    <w:link w:val="FooterChar"/>
    <w:uiPriority w:val="99"/>
    <w:unhideWhenUsed/>
    <w:rsid w:val="00682FB6"/>
    <w:pPr>
      <w:tabs>
        <w:tab w:val="center" w:pos="4680"/>
        <w:tab w:val="right" w:pos="9360"/>
      </w:tabs>
    </w:pPr>
  </w:style>
  <w:style w:type="character" w:customStyle="1" w:styleId="FooterChar">
    <w:name w:val="Footer Char"/>
    <w:basedOn w:val="DefaultParagraphFont"/>
    <w:link w:val="Footer"/>
    <w:uiPriority w:val="99"/>
    <w:rsid w:val="00682FB6"/>
  </w:style>
  <w:style w:type="character" w:styleId="Hyperlink">
    <w:name w:val="Hyperlink"/>
    <w:rsid w:val="00CF4126"/>
    <w:rPr>
      <w:color w:val="0066CC"/>
      <w:u w:val="single"/>
    </w:rPr>
  </w:style>
  <w:style w:type="character" w:customStyle="1" w:styleId="Footnote2">
    <w:name w:val="Footnote (2)_"/>
    <w:link w:val="Footnote20"/>
    <w:uiPriority w:val="99"/>
    <w:rsid w:val="00CF4126"/>
    <w:rPr>
      <w:rFonts w:ascii="Times New Roman" w:eastAsia="Times New Roman" w:hAnsi="Times New Roman" w:cs="Times New Roman"/>
      <w:sz w:val="21"/>
      <w:szCs w:val="21"/>
      <w:shd w:val="clear" w:color="auto" w:fill="FFFFFF"/>
    </w:rPr>
  </w:style>
  <w:style w:type="character" w:customStyle="1" w:styleId="Bodytext">
    <w:name w:val="Body text_"/>
    <w:link w:val="Bodytext1"/>
    <w:uiPriority w:val="99"/>
    <w:rsid w:val="00CF4126"/>
    <w:rPr>
      <w:rFonts w:ascii="Times New Roman" w:eastAsia="Times New Roman" w:hAnsi="Times New Roman" w:cs="Times New Roman"/>
      <w:b w:val="0"/>
      <w:bCs w:val="0"/>
      <w:i w:val="0"/>
      <w:iCs w:val="0"/>
      <w:smallCaps w:val="0"/>
      <w:strike w:val="0"/>
      <w:spacing w:val="0"/>
      <w:sz w:val="21"/>
      <w:szCs w:val="21"/>
    </w:rPr>
  </w:style>
  <w:style w:type="character" w:customStyle="1" w:styleId="Bodytext2">
    <w:name w:val="Body text (2)_"/>
    <w:link w:val="Bodytext20"/>
    <w:uiPriority w:val="99"/>
    <w:rsid w:val="00CF4126"/>
    <w:rPr>
      <w:rFonts w:ascii="Times New Roman" w:eastAsia="Times New Roman" w:hAnsi="Times New Roman" w:cs="Times New Roman"/>
      <w:sz w:val="21"/>
      <w:szCs w:val="21"/>
      <w:shd w:val="clear" w:color="auto" w:fill="FFFFFF"/>
    </w:rPr>
  </w:style>
  <w:style w:type="character" w:customStyle="1" w:styleId="Bodytext3">
    <w:name w:val="Body text (3)_"/>
    <w:link w:val="Bodytext30"/>
    <w:uiPriority w:val="99"/>
    <w:rsid w:val="00CF4126"/>
    <w:rPr>
      <w:rFonts w:ascii="Times New Roman" w:eastAsia="Times New Roman" w:hAnsi="Times New Roman" w:cs="Times New Roman"/>
      <w:sz w:val="21"/>
      <w:szCs w:val="21"/>
      <w:shd w:val="clear" w:color="auto" w:fill="FFFFFF"/>
    </w:rPr>
  </w:style>
  <w:style w:type="character" w:customStyle="1" w:styleId="Bodytext5">
    <w:name w:val="Body text (5)_"/>
    <w:link w:val="Bodytext51"/>
    <w:uiPriority w:val="99"/>
    <w:rsid w:val="00CF4126"/>
    <w:rPr>
      <w:rFonts w:ascii="Times New Roman" w:eastAsia="Times New Roman" w:hAnsi="Times New Roman" w:cs="Times New Roman"/>
      <w:b w:val="0"/>
      <w:bCs w:val="0"/>
      <w:i w:val="0"/>
      <w:iCs w:val="0"/>
      <w:smallCaps w:val="0"/>
      <w:strike w:val="0"/>
      <w:spacing w:val="0"/>
      <w:sz w:val="21"/>
      <w:szCs w:val="21"/>
    </w:rPr>
  </w:style>
  <w:style w:type="character" w:customStyle="1" w:styleId="Bodytext5NotBold">
    <w:name w:val="Body text (5) + Not Bold"/>
    <w:rsid w:val="00CF4126"/>
    <w:rPr>
      <w:rFonts w:ascii="Times New Roman" w:eastAsia="Times New Roman" w:hAnsi="Times New Roman" w:cs="Times New Roman"/>
      <w:b/>
      <w:bCs/>
      <w:i w:val="0"/>
      <w:iCs w:val="0"/>
      <w:smallCaps w:val="0"/>
      <w:strike w:val="0"/>
      <w:spacing w:val="0"/>
      <w:sz w:val="21"/>
      <w:szCs w:val="21"/>
    </w:rPr>
  </w:style>
  <w:style w:type="character" w:customStyle="1" w:styleId="BodytextBold">
    <w:name w:val="Body text + Bold"/>
    <w:aliases w:val="Small Caps,Body text + 16 pt,Body text (2) + 16 pt,Body text (3) + 8 pt"/>
    <w:rsid w:val="00CF4126"/>
    <w:rPr>
      <w:rFonts w:ascii="Times New Roman" w:eastAsia="Times New Roman" w:hAnsi="Times New Roman" w:cs="Times New Roman"/>
      <w:b/>
      <w:bCs/>
      <w:i w:val="0"/>
      <w:iCs w:val="0"/>
      <w:smallCaps w:val="0"/>
      <w:strike w:val="0"/>
      <w:spacing w:val="0"/>
      <w:sz w:val="21"/>
      <w:szCs w:val="21"/>
    </w:rPr>
  </w:style>
  <w:style w:type="character" w:customStyle="1" w:styleId="Bodytext50">
    <w:name w:val="Body text (5)"/>
    <w:rsid w:val="00CF4126"/>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6">
    <w:name w:val="Body text (6)_"/>
    <w:link w:val="Bodytext60"/>
    <w:rsid w:val="00CF4126"/>
    <w:rPr>
      <w:rFonts w:ascii="Times New Roman" w:eastAsia="Times New Roman" w:hAnsi="Times New Roman" w:cs="Times New Roman"/>
      <w:sz w:val="21"/>
      <w:szCs w:val="21"/>
      <w:shd w:val="clear" w:color="auto" w:fill="FFFFFF"/>
    </w:rPr>
  </w:style>
  <w:style w:type="character" w:customStyle="1" w:styleId="BodytextItalic">
    <w:name w:val="Body text + Italic"/>
    <w:aliases w:val="Spacing 0 pt Exact,Body text + AngsanaUPC,15 pt,Body text + Candara,7.5 pt,Body text + 9.5 pt"/>
    <w:uiPriority w:val="99"/>
    <w:rsid w:val="00CF4126"/>
    <w:rPr>
      <w:rFonts w:ascii="Times New Roman" w:eastAsia="Times New Roman" w:hAnsi="Times New Roman" w:cs="Times New Roman"/>
      <w:b w:val="0"/>
      <w:bCs w:val="0"/>
      <w:i/>
      <w:iCs/>
      <w:smallCaps w:val="0"/>
      <w:strike w:val="0"/>
      <w:spacing w:val="0"/>
      <w:sz w:val="21"/>
      <w:szCs w:val="21"/>
    </w:rPr>
  </w:style>
  <w:style w:type="character" w:customStyle="1" w:styleId="BodytextSpacing1pt">
    <w:name w:val="Body text + Spacing 1 pt"/>
    <w:rsid w:val="00CF4126"/>
    <w:rPr>
      <w:rFonts w:ascii="Times New Roman" w:eastAsia="Times New Roman" w:hAnsi="Times New Roman" w:cs="Times New Roman"/>
      <w:b w:val="0"/>
      <w:bCs w:val="0"/>
      <w:i w:val="0"/>
      <w:iCs w:val="0"/>
      <w:smallCaps w:val="0"/>
      <w:strike w:val="0"/>
      <w:spacing w:val="30"/>
      <w:sz w:val="21"/>
      <w:szCs w:val="21"/>
    </w:rPr>
  </w:style>
  <w:style w:type="character" w:customStyle="1" w:styleId="Heading1">
    <w:name w:val="Heading #1_"/>
    <w:uiPriority w:val="99"/>
    <w:rsid w:val="00CF4126"/>
    <w:rPr>
      <w:rFonts w:ascii="Times New Roman" w:eastAsia="Times New Roman" w:hAnsi="Times New Roman" w:cs="Times New Roman"/>
      <w:b w:val="0"/>
      <w:bCs w:val="0"/>
      <w:i w:val="0"/>
      <w:iCs w:val="0"/>
      <w:smallCaps w:val="0"/>
      <w:strike w:val="0"/>
      <w:spacing w:val="0"/>
      <w:sz w:val="21"/>
      <w:szCs w:val="21"/>
    </w:rPr>
  </w:style>
  <w:style w:type="character" w:customStyle="1" w:styleId="Heading10">
    <w:name w:val="Heading #1"/>
    <w:rsid w:val="00CF4126"/>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6NotBold">
    <w:name w:val="Body text (6) + Not Bold"/>
    <w:rsid w:val="00CF4126"/>
    <w:rPr>
      <w:rFonts w:ascii="Times New Roman" w:eastAsia="Times New Roman" w:hAnsi="Times New Roman" w:cs="Times New Roman"/>
      <w:b/>
      <w:bCs/>
      <w:sz w:val="21"/>
      <w:szCs w:val="21"/>
      <w:shd w:val="clear" w:color="auto" w:fill="FFFFFF"/>
    </w:rPr>
  </w:style>
  <w:style w:type="character" w:customStyle="1" w:styleId="Bodytext7">
    <w:name w:val="Body text (7)_"/>
    <w:link w:val="Bodytext70"/>
    <w:rsid w:val="00CF4126"/>
    <w:rPr>
      <w:rFonts w:ascii="Times New Roman" w:eastAsia="Times New Roman" w:hAnsi="Times New Roman" w:cs="Times New Roman"/>
      <w:sz w:val="21"/>
      <w:szCs w:val="21"/>
      <w:shd w:val="clear" w:color="auto" w:fill="FFFFFF"/>
    </w:rPr>
  </w:style>
  <w:style w:type="character" w:customStyle="1" w:styleId="Bodytext2NotBold">
    <w:name w:val="Body text (2) + Not Bold"/>
    <w:aliases w:val="Not Small Caps,Body text (3) + Not Bold,Table caption + 17 pt,Table caption + 16.5 pt"/>
    <w:uiPriority w:val="99"/>
    <w:rsid w:val="00CF4126"/>
    <w:rPr>
      <w:rFonts w:ascii="Times New Roman" w:eastAsia="Times New Roman" w:hAnsi="Times New Roman" w:cs="Times New Roman"/>
      <w:b/>
      <w:bCs/>
      <w:smallCaps/>
      <w:sz w:val="21"/>
      <w:szCs w:val="21"/>
      <w:shd w:val="clear" w:color="auto" w:fill="FFFFFF"/>
    </w:rPr>
  </w:style>
  <w:style w:type="character" w:customStyle="1" w:styleId="Bodytext7NotItalic">
    <w:name w:val="Body text (7) + Not Italic"/>
    <w:rsid w:val="00CF4126"/>
    <w:rPr>
      <w:rFonts w:ascii="Times New Roman" w:eastAsia="Times New Roman" w:hAnsi="Times New Roman" w:cs="Times New Roman"/>
      <w:i/>
      <w:iCs/>
      <w:spacing w:val="0"/>
      <w:sz w:val="21"/>
      <w:szCs w:val="21"/>
      <w:shd w:val="clear" w:color="auto" w:fill="FFFFFF"/>
    </w:rPr>
  </w:style>
  <w:style w:type="character" w:customStyle="1" w:styleId="BodyText10">
    <w:name w:val="Body Text1"/>
    <w:rsid w:val="00CF4126"/>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Heading12">
    <w:name w:val="Heading #1 (2)_"/>
    <w:rsid w:val="00CF4126"/>
    <w:rPr>
      <w:rFonts w:ascii="Times New Roman" w:eastAsia="Times New Roman" w:hAnsi="Times New Roman" w:cs="Times New Roman"/>
      <w:b w:val="0"/>
      <w:bCs w:val="0"/>
      <w:i w:val="0"/>
      <w:iCs w:val="0"/>
      <w:smallCaps w:val="0"/>
      <w:strike w:val="0"/>
      <w:spacing w:val="0"/>
      <w:sz w:val="21"/>
      <w:szCs w:val="21"/>
    </w:rPr>
  </w:style>
  <w:style w:type="character" w:customStyle="1" w:styleId="Heading120">
    <w:name w:val="Heading #1 (2)"/>
    <w:rsid w:val="00CF4126"/>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odytext9">
    <w:name w:val="Body text (9)_"/>
    <w:rsid w:val="00CF4126"/>
    <w:rPr>
      <w:rFonts w:ascii="Times New Roman" w:eastAsia="Times New Roman" w:hAnsi="Times New Roman" w:cs="Times New Roman"/>
      <w:b w:val="0"/>
      <w:bCs w:val="0"/>
      <w:i w:val="0"/>
      <w:iCs w:val="0"/>
      <w:smallCaps w:val="0"/>
      <w:strike w:val="0"/>
      <w:spacing w:val="0"/>
      <w:sz w:val="16"/>
      <w:szCs w:val="16"/>
    </w:rPr>
  </w:style>
  <w:style w:type="character" w:customStyle="1" w:styleId="Bodytext9Italic">
    <w:name w:val="Body text (9) + Italic"/>
    <w:rsid w:val="00CF4126"/>
    <w:rPr>
      <w:rFonts w:ascii="Times New Roman" w:eastAsia="Times New Roman" w:hAnsi="Times New Roman" w:cs="Times New Roman"/>
      <w:b w:val="0"/>
      <w:bCs w:val="0"/>
      <w:i/>
      <w:iCs/>
      <w:smallCaps w:val="0"/>
      <w:strike w:val="0"/>
      <w:spacing w:val="0"/>
      <w:sz w:val="16"/>
      <w:szCs w:val="16"/>
    </w:rPr>
  </w:style>
  <w:style w:type="character" w:customStyle="1" w:styleId="Bodytext90">
    <w:name w:val="Body text (9)"/>
    <w:rsid w:val="00CF4126"/>
    <w:rPr>
      <w:rFonts w:ascii="Times New Roman" w:eastAsia="Times New Roman" w:hAnsi="Times New Roman" w:cs="Times New Roman"/>
      <w:b w:val="0"/>
      <w:bCs w:val="0"/>
      <w:i w:val="0"/>
      <w:iCs w:val="0"/>
      <w:smallCaps w:val="0"/>
      <w:strike w:val="0"/>
      <w:spacing w:val="0"/>
      <w:sz w:val="16"/>
      <w:szCs w:val="16"/>
      <w:u w:val="single"/>
    </w:rPr>
  </w:style>
  <w:style w:type="paragraph" w:customStyle="1" w:styleId="Footnote20">
    <w:name w:val="Footnote (2)"/>
    <w:basedOn w:val="Normal"/>
    <w:link w:val="Footnote2"/>
    <w:uiPriority w:val="99"/>
    <w:rsid w:val="00CF4126"/>
    <w:pPr>
      <w:shd w:val="clear" w:color="auto" w:fill="FFFFFF"/>
      <w:spacing w:line="0" w:lineRule="atLeast"/>
    </w:pPr>
    <w:rPr>
      <w:rFonts w:ascii="Times New Roman" w:eastAsia="Times New Roman" w:hAnsi="Times New Roman" w:cs="Times New Roman"/>
      <w:sz w:val="21"/>
      <w:szCs w:val="21"/>
      <w:lang w:val="en-US" w:eastAsia="en-US"/>
    </w:rPr>
  </w:style>
  <w:style w:type="paragraph" w:customStyle="1" w:styleId="Bodytext20">
    <w:name w:val="Body text (2)"/>
    <w:basedOn w:val="Normal"/>
    <w:link w:val="Bodytext2"/>
    <w:uiPriority w:val="99"/>
    <w:rsid w:val="00CF4126"/>
    <w:pPr>
      <w:shd w:val="clear" w:color="auto" w:fill="FFFFFF"/>
      <w:spacing w:before="540" w:after="60" w:line="0" w:lineRule="atLeast"/>
      <w:jc w:val="center"/>
    </w:pPr>
    <w:rPr>
      <w:rFonts w:ascii="Times New Roman" w:eastAsia="Times New Roman" w:hAnsi="Times New Roman" w:cs="Times New Roman"/>
      <w:sz w:val="21"/>
      <w:szCs w:val="21"/>
      <w:lang w:val="en-US" w:eastAsia="en-US"/>
    </w:rPr>
  </w:style>
  <w:style w:type="paragraph" w:customStyle="1" w:styleId="Bodytext30">
    <w:name w:val="Body text (3)"/>
    <w:basedOn w:val="Normal"/>
    <w:link w:val="Bodytext3"/>
    <w:uiPriority w:val="99"/>
    <w:rsid w:val="00CF4126"/>
    <w:pPr>
      <w:shd w:val="clear" w:color="auto" w:fill="FFFFFF"/>
      <w:spacing w:before="180" w:after="60" w:line="245" w:lineRule="exact"/>
      <w:jc w:val="right"/>
    </w:pPr>
    <w:rPr>
      <w:rFonts w:ascii="Times New Roman" w:eastAsia="Times New Roman" w:hAnsi="Times New Roman" w:cs="Times New Roman"/>
      <w:sz w:val="21"/>
      <w:szCs w:val="21"/>
      <w:lang w:val="en-US" w:eastAsia="en-US"/>
    </w:rPr>
  </w:style>
  <w:style w:type="paragraph" w:customStyle="1" w:styleId="Bodytext60">
    <w:name w:val="Body text (6)"/>
    <w:basedOn w:val="Normal"/>
    <w:link w:val="Bodytext6"/>
    <w:rsid w:val="00CF4126"/>
    <w:pPr>
      <w:shd w:val="clear" w:color="auto" w:fill="FFFFFF"/>
      <w:spacing w:line="413" w:lineRule="exact"/>
      <w:jc w:val="both"/>
    </w:pPr>
    <w:rPr>
      <w:rFonts w:ascii="Times New Roman" w:eastAsia="Times New Roman" w:hAnsi="Times New Roman" w:cs="Times New Roman"/>
      <w:sz w:val="21"/>
      <w:szCs w:val="21"/>
      <w:lang w:val="en-US" w:eastAsia="en-US"/>
    </w:rPr>
  </w:style>
  <w:style w:type="paragraph" w:customStyle="1" w:styleId="Bodytext70">
    <w:name w:val="Body text (7)"/>
    <w:basedOn w:val="Normal"/>
    <w:link w:val="Bodytext7"/>
    <w:rsid w:val="00CF4126"/>
    <w:pPr>
      <w:shd w:val="clear" w:color="auto" w:fill="FFFFFF"/>
      <w:spacing w:after="120" w:line="0" w:lineRule="atLeast"/>
    </w:pPr>
    <w:rPr>
      <w:rFonts w:ascii="Times New Roman" w:eastAsia="Times New Roman" w:hAnsi="Times New Roman" w:cs="Times New Roman"/>
      <w:sz w:val="21"/>
      <w:szCs w:val="21"/>
      <w:lang w:val="en-US" w:eastAsia="en-US"/>
    </w:rPr>
  </w:style>
  <w:style w:type="paragraph" w:styleId="FootnoteText">
    <w:name w:val="footnote text"/>
    <w:basedOn w:val="Normal"/>
    <w:link w:val="FootnoteTextChar"/>
    <w:uiPriority w:val="99"/>
    <w:semiHidden/>
    <w:unhideWhenUsed/>
    <w:rsid w:val="00CF4126"/>
    <w:rPr>
      <w:rFonts w:ascii="Arial Unicode MS" w:eastAsia="Arial Unicode MS" w:hAnsi="Arial Unicode MS" w:cs="Arial Unicode MS"/>
      <w:color w:val="000000"/>
      <w:lang w:val="en-US" w:eastAsia="en-US"/>
    </w:rPr>
  </w:style>
  <w:style w:type="character" w:customStyle="1" w:styleId="FootnoteTextChar">
    <w:name w:val="Footnote Text Char"/>
    <w:link w:val="FootnoteText"/>
    <w:uiPriority w:val="99"/>
    <w:semiHidden/>
    <w:rsid w:val="00CF4126"/>
    <w:rPr>
      <w:rFonts w:ascii="Arial Unicode MS" w:eastAsia="Arial Unicode MS" w:hAnsi="Arial Unicode MS" w:cs="Arial Unicode MS"/>
      <w:color w:val="000000"/>
    </w:rPr>
  </w:style>
  <w:style w:type="character" w:styleId="FootnoteReference">
    <w:name w:val="footnote reference"/>
    <w:uiPriority w:val="99"/>
    <w:semiHidden/>
    <w:unhideWhenUsed/>
    <w:rsid w:val="00CF4126"/>
    <w:rPr>
      <w:vertAlign w:val="superscript"/>
    </w:rPr>
  </w:style>
  <w:style w:type="character" w:customStyle="1" w:styleId="st">
    <w:name w:val="st"/>
    <w:basedOn w:val="DefaultParagraphFont"/>
    <w:rsid w:val="00CF4126"/>
  </w:style>
  <w:style w:type="character" w:customStyle="1" w:styleId="Bodytext210pt">
    <w:name w:val="Body text (2) + 10 pt"/>
    <w:aliases w:val="Not Bold,Italic,Body text (3) + 10 pt,Body text + 15 pt,Body text (2) + 16.5 pt,Body text (6) + Bookman Old Style,8 pt,Body text (10) + Bookman Old Style,Footnote + 8 pt"/>
    <w:uiPriority w:val="99"/>
    <w:rsid w:val="001351E4"/>
    <w:rPr>
      <w:rFonts w:ascii="Times New Roman" w:eastAsia="Times New Roman" w:hAnsi="Times New Roman" w:cs="Times New Roman"/>
      <w:b/>
      <w:bCs/>
      <w:i/>
      <w:iCs/>
      <w:smallCaps w:val="0"/>
      <w:strike w:val="0"/>
      <w:spacing w:val="0"/>
      <w:sz w:val="20"/>
      <w:szCs w:val="20"/>
      <w:shd w:val="clear" w:color="auto" w:fill="FFFFFF"/>
    </w:rPr>
  </w:style>
  <w:style w:type="character" w:customStyle="1" w:styleId="Bodytext4">
    <w:name w:val="Body text (4)_"/>
    <w:link w:val="Bodytext40"/>
    <w:uiPriority w:val="99"/>
    <w:rsid w:val="001351E4"/>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1351E4"/>
    <w:pPr>
      <w:shd w:val="clear" w:color="auto" w:fill="FFFFFF"/>
      <w:spacing w:before="60" w:after="180" w:line="0" w:lineRule="atLeast"/>
    </w:pPr>
    <w:rPr>
      <w:rFonts w:ascii="Times New Roman" w:eastAsia="Times New Roman" w:hAnsi="Times New Roman" w:cs="Times New Roman"/>
      <w:lang w:val="en-US" w:eastAsia="en-US"/>
    </w:rPr>
  </w:style>
  <w:style w:type="paragraph" w:styleId="EndnoteText">
    <w:name w:val="endnote text"/>
    <w:basedOn w:val="Normal"/>
    <w:link w:val="EndnoteTextChar"/>
    <w:uiPriority w:val="99"/>
    <w:semiHidden/>
    <w:unhideWhenUsed/>
    <w:rsid w:val="00EB5FC9"/>
  </w:style>
  <w:style w:type="character" w:customStyle="1" w:styleId="EndnoteTextChar">
    <w:name w:val="Endnote Text Char"/>
    <w:link w:val="EndnoteText"/>
    <w:uiPriority w:val="99"/>
    <w:semiHidden/>
    <w:rsid w:val="00EB5FC9"/>
    <w:rPr>
      <w:lang w:val="en-CA" w:eastAsia="en-CA"/>
    </w:rPr>
  </w:style>
  <w:style w:type="character" w:styleId="EndnoteReference">
    <w:name w:val="endnote reference"/>
    <w:uiPriority w:val="99"/>
    <w:semiHidden/>
    <w:unhideWhenUsed/>
    <w:rsid w:val="00EB5FC9"/>
    <w:rPr>
      <w:vertAlign w:val="superscript"/>
    </w:rPr>
  </w:style>
  <w:style w:type="character" w:customStyle="1" w:styleId="Headerorfooter">
    <w:name w:val="Header or footer_"/>
    <w:link w:val="Headerorfooter0"/>
    <w:rsid w:val="00881719"/>
    <w:rPr>
      <w:rFonts w:ascii="Times New Roman" w:eastAsia="Times New Roman" w:hAnsi="Times New Roman" w:cs="Times New Roman"/>
      <w:shd w:val="clear" w:color="auto" w:fill="FFFFFF"/>
    </w:rPr>
  </w:style>
  <w:style w:type="character" w:customStyle="1" w:styleId="Headerorfooter65pt">
    <w:name w:val="Header or footer + 6.5 pt"/>
    <w:rsid w:val="00881719"/>
    <w:rPr>
      <w:rFonts w:ascii="Times New Roman" w:eastAsia="Times New Roman" w:hAnsi="Times New Roman" w:cs="Times New Roman"/>
      <w:spacing w:val="0"/>
      <w:sz w:val="13"/>
      <w:szCs w:val="13"/>
      <w:shd w:val="clear" w:color="auto" w:fill="FFFFFF"/>
    </w:rPr>
  </w:style>
  <w:style w:type="character" w:customStyle="1" w:styleId="Bodytext2NotItalic">
    <w:name w:val="Body text (2) + Not Italic"/>
    <w:rsid w:val="00881719"/>
    <w:rPr>
      <w:rFonts w:ascii="Times New Roman" w:eastAsia="Times New Roman" w:hAnsi="Times New Roman" w:cs="Times New Roman"/>
      <w:b w:val="0"/>
      <w:bCs w:val="0"/>
      <w:i/>
      <w:iCs/>
      <w:smallCaps w:val="0"/>
      <w:strike w:val="0"/>
      <w:spacing w:val="0"/>
      <w:sz w:val="17"/>
      <w:szCs w:val="17"/>
      <w:shd w:val="clear" w:color="auto" w:fill="FFFFFF"/>
    </w:rPr>
  </w:style>
  <w:style w:type="character" w:customStyle="1" w:styleId="Headerorfooter5pt">
    <w:name w:val="Header or footer + 5 pt"/>
    <w:rsid w:val="00881719"/>
    <w:rPr>
      <w:rFonts w:ascii="Times New Roman" w:eastAsia="Times New Roman" w:hAnsi="Times New Roman" w:cs="Times New Roman"/>
      <w:spacing w:val="0"/>
      <w:sz w:val="10"/>
      <w:szCs w:val="10"/>
      <w:shd w:val="clear" w:color="auto" w:fill="FFFFFF"/>
    </w:rPr>
  </w:style>
  <w:style w:type="character" w:customStyle="1" w:styleId="Bodytext8pt">
    <w:name w:val="Body text + 8 pt"/>
    <w:aliases w:val="Bold,Body text (3) + 14.5 pt,Small Caps68,Body text (3) + 14 pt,Body text + 6.5 pt,Body text + Century Gothic,6.5 pt"/>
    <w:uiPriority w:val="99"/>
    <w:rsid w:val="00881719"/>
    <w:rPr>
      <w:rFonts w:ascii="Times New Roman" w:eastAsia="Times New Roman" w:hAnsi="Times New Roman" w:cs="Times New Roman"/>
      <w:b/>
      <w:bCs/>
      <w:i w:val="0"/>
      <w:iCs w:val="0"/>
      <w:smallCaps w:val="0"/>
      <w:strike w:val="0"/>
      <w:spacing w:val="0"/>
      <w:sz w:val="16"/>
      <w:szCs w:val="16"/>
    </w:rPr>
  </w:style>
  <w:style w:type="paragraph" w:customStyle="1" w:styleId="Headerorfooter0">
    <w:name w:val="Header or footer"/>
    <w:basedOn w:val="Normal"/>
    <w:link w:val="Headerorfooter"/>
    <w:rsid w:val="00881719"/>
    <w:pPr>
      <w:shd w:val="clear" w:color="auto" w:fill="FFFFFF"/>
    </w:pPr>
    <w:rPr>
      <w:rFonts w:ascii="Times New Roman" w:eastAsia="Times New Roman" w:hAnsi="Times New Roman" w:cs="Times New Roman"/>
      <w:lang w:val="en-US" w:eastAsia="en-US"/>
    </w:rPr>
  </w:style>
  <w:style w:type="character" w:customStyle="1" w:styleId="HeaderorfooterAngsanaNew">
    <w:name w:val="Header or footer + Angsana New"/>
    <w:aliases w:val="15.5 pt"/>
    <w:uiPriority w:val="99"/>
    <w:rsid w:val="00260DE7"/>
    <w:rPr>
      <w:rFonts w:ascii="Angsana New" w:eastAsia="Times New Roman" w:hAnsi="Angsana New" w:cs="Angsana New"/>
      <w:spacing w:val="0"/>
      <w:sz w:val="31"/>
      <w:szCs w:val="31"/>
      <w:shd w:val="clear" w:color="auto" w:fill="FFFFFF"/>
    </w:rPr>
  </w:style>
  <w:style w:type="character" w:customStyle="1" w:styleId="Bodytext316pt">
    <w:name w:val="Body text (3) + 16 pt"/>
    <w:aliases w:val="Not Italic,Small Caps88,Body text (3) + 15.5 pt,Footnote (3) + 7 pt"/>
    <w:uiPriority w:val="99"/>
    <w:rsid w:val="00260DE7"/>
    <w:rPr>
      <w:rFonts w:ascii="Angsana New" w:eastAsia="Times New Roman" w:hAnsi="Angsana New" w:cs="Angsana New"/>
      <w:i/>
      <w:iCs/>
      <w:smallCaps/>
      <w:spacing w:val="0"/>
      <w:sz w:val="32"/>
      <w:szCs w:val="32"/>
      <w:shd w:val="clear" w:color="auto" w:fill="FFFFFF"/>
    </w:rPr>
  </w:style>
  <w:style w:type="character" w:customStyle="1" w:styleId="HeaderorfooterAngsanaNew1">
    <w:name w:val="Header or footer + Angsana New1"/>
    <w:aliases w:val="13.5 pt"/>
    <w:uiPriority w:val="99"/>
    <w:rsid w:val="00260DE7"/>
    <w:rPr>
      <w:rFonts w:ascii="Angsana New" w:eastAsia="Times New Roman" w:hAnsi="Angsana New" w:cs="Angsana New"/>
      <w:spacing w:val="0"/>
      <w:sz w:val="27"/>
      <w:szCs w:val="27"/>
      <w:shd w:val="clear" w:color="auto" w:fill="FFFFFF"/>
    </w:rPr>
  </w:style>
  <w:style w:type="character" w:customStyle="1" w:styleId="Bodytext16pt64">
    <w:name w:val="Body text + 16 pt64"/>
    <w:aliases w:val="Small Caps87"/>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4Italic">
    <w:name w:val="Body text (4) + Italic"/>
    <w:uiPriority w:val="99"/>
    <w:rsid w:val="00260DE7"/>
    <w:rPr>
      <w:rFonts w:ascii="Angsana New" w:eastAsia="Times New Roman" w:hAnsi="Angsana New" w:cs="Angsana New"/>
      <w:i/>
      <w:iCs/>
      <w:spacing w:val="0"/>
      <w:sz w:val="30"/>
      <w:szCs w:val="30"/>
      <w:shd w:val="clear" w:color="auto" w:fill="FFFFFF"/>
    </w:rPr>
  </w:style>
  <w:style w:type="character" w:customStyle="1" w:styleId="Bodytext3NotItalic">
    <w:name w:val="Body text (3) + Not Italic"/>
    <w:uiPriority w:val="99"/>
    <w:rsid w:val="00260DE7"/>
    <w:rPr>
      <w:rFonts w:ascii="Angsana New" w:eastAsia="Times New Roman" w:hAnsi="Angsana New" w:cs="Angsana New"/>
      <w:i/>
      <w:iCs/>
      <w:spacing w:val="0"/>
      <w:sz w:val="34"/>
      <w:szCs w:val="34"/>
      <w:shd w:val="clear" w:color="auto" w:fill="FFFFFF"/>
    </w:rPr>
  </w:style>
  <w:style w:type="character" w:customStyle="1" w:styleId="Bodytext16pt63">
    <w:name w:val="Body text + 16 pt63"/>
    <w:aliases w:val="Small Caps86"/>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62">
    <w:name w:val="Body text + 16 pt62"/>
    <w:aliases w:val="Small Caps85"/>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61">
    <w:name w:val="Body text + 16 pt61"/>
    <w:aliases w:val="Small Caps84"/>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8">
    <w:name w:val="Body text (8)_"/>
    <w:link w:val="Bodytext80"/>
    <w:locked/>
    <w:rsid w:val="00260DE7"/>
    <w:rPr>
      <w:rFonts w:ascii="Angsana New" w:hAnsi="Angsana New" w:cs="Angsana New"/>
      <w:noProof/>
      <w:sz w:val="8"/>
      <w:szCs w:val="8"/>
      <w:shd w:val="clear" w:color="auto" w:fill="FFFFFF"/>
    </w:rPr>
  </w:style>
  <w:style w:type="character" w:customStyle="1" w:styleId="Bodytext100">
    <w:name w:val="Body text (10)_"/>
    <w:link w:val="Bodytext101"/>
    <w:uiPriority w:val="99"/>
    <w:locked/>
    <w:rsid w:val="00260DE7"/>
    <w:rPr>
      <w:rFonts w:ascii="Trebuchet MS" w:hAnsi="Trebuchet MS" w:cs="Trebuchet MS"/>
      <w:noProof/>
      <w:sz w:val="8"/>
      <w:szCs w:val="8"/>
      <w:shd w:val="clear" w:color="auto" w:fill="FFFFFF"/>
    </w:rPr>
  </w:style>
  <w:style w:type="character" w:customStyle="1" w:styleId="Bodytext11">
    <w:name w:val="Body text (11)_"/>
    <w:link w:val="Bodytext110"/>
    <w:uiPriority w:val="99"/>
    <w:locked/>
    <w:rsid w:val="00260DE7"/>
    <w:rPr>
      <w:rFonts w:ascii="Trebuchet MS" w:hAnsi="Trebuchet MS" w:cs="Trebuchet MS"/>
      <w:noProof/>
      <w:sz w:val="8"/>
      <w:szCs w:val="8"/>
      <w:shd w:val="clear" w:color="auto" w:fill="FFFFFF"/>
    </w:rPr>
  </w:style>
  <w:style w:type="character" w:customStyle="1" w:styleId="Bodytext12">
    <w:name w:val="Body text (12)_"/>
    <w:link w:val="Bodytext120"/>
    <w:uiPriority w:val="99"/>
    <w:locked/>
    <w:rsid w:val="00260DE7"/>
    <w:rPr>
      <w:rFonts w:ascii="Angsana New" w:hAnsi="Angsana New" w:cs="Angsana New"/>
      <w:noProof/>
      <w:sz w:val="8"/>
      <w:szCs w:val="8"/>
      <w:shd w:val="clear" w:color="auto" w:fill="FFFFFF"/>
    </w:rPr>
  </w:style>
  <w:style w:type="character" w:customStyle="1" w:styleId="Bodytext3NotItalic18">
    <w:name w:val="Body text (3) + Not Italic18"/>
    <w:uiPriority w:val="99"/>
    <w:rsid w:val="00260DE7"/>
    <w:rPr>
      <w:rFonts w:ascii="Angsana New" w:eastAsia="Times New Roman" w:hAnsi="Angsana New" w:cs="Angsana New"/>
      <w:i/>
      <w:iCs/>
      <w:spacing w:val="0"/>
      <w:sz w:val="34"/>
      <w:szCs w:val="34"/>
      <w:shd w:val="clear" w:color="auto" w:fill="FFFFFF"/>
    </w:rPr>
  </w:style>
  <w:style w:type="character" w:customStyle="1" w:styleId="Bodytext16pt60">
    <w:name w:val="Body text + 16 pt60"/>
    <w:aliases w:val="Small Caps83"/>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59">
    <w:name w:val="Body text + 16 pt59"/>
    <w:aliases w:val="Small Caps82"/>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58">
    <w:name w:val="Body text + 16 pt58"/>
    <w:aliases w:val="Small Caps81"/>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57">
    <w:name w:val="Body text + 16 pt57"/>
    <w:aliases w:val="Small Caps80"/>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3NotItalic17">
    <w:name w:val="Body text (3) + Not Italic17"/>
    <w:uiPriority w:val="99"/>
    <w:rsid w:val="00260DE7"/>
    <w:rPr>
      <w:rFonts w:ascii="Angsana New" w:eastAsia="Times New Roman" w:hAnsi="Angsana New" w:cs="Angsana New"/>
      <w:i/>
      <w:iCs/>
      <w:spacing w:val="0"/>
      <w:sz w:val="34"/>
      <w:szCs w:val="34"/>
      <w:shd w:val="clear" w:color="auto" w:fill="FFFFFF"/>
    </w:rPr>
  </w:style>
  <w:style w:type="character" w:customStyle="1" w:styleId="Bodytext3NotItalic16">
    <w:name w:val="Body text (3) + Not Italic16"/>
    <w:uiPriority w:val="99"/>
    <w:rsid w:val="00260DE7"/>
    <w:rPr>
      <w:rFonts w:ascii="Angsana New" w:eastAsia="Times New Roman" w:hAnsi="Angsana New" w:cs="Angsana New"/>
      <w:i/>
      <w:iCs/>
      <w:spacing w:val="0"/>
      <w:sz w:val="34"/>
      <w:szCs w:val="34"/>
      <w:shd w:val="clear" w:color="auto" w:fill="FFFFFF"/>
    </w:rPr>
  </w:style>
  <w:style w:type="character" w:customStyle="1" w:styleId="Bodytext16pt56">
    <w:name w:val="Body text + 16 pt56"/>
    <w:aliases w:val="Small Caps79"/>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55">
    <w:name w:val="Body text + 16 pt55"/>
    <w:aliases w:val="Small Caps78"/>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3NotItalic15">
    <w:name w:val="Body text (3) + Not Italic15"/>
    <w:uiPriority w:val="99"/>
    <w:rsid w:val="00260DE7"/>
    <w:rPr>
      <w:rFonts w:ascii="Angsana New" w:eastAsia="Times New Roman" w:hAnsi="Angsana New" w:cs="Angsana New"/>
      <w:i/>
      <w:iCs/>
      <w:spacing w:val="0"/>
      <w:sz w:val="34"/>
      <w:szCs w:val="34"/>
      <w:shd w:val="clear" w:color="auto" w:fill="FFFFFF"/>
    </w:rPr>
  </w:style>
  <w:style w:type="character" w:customStyle="1" w:styleId="Bodytext16pt54">
    <w:name w:val="Body text + 16 pt54"/>
    <w:aliases w:val="Small Caps77"/>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416pt">
    <w:name w:val="Body text (4) + 16 pt"/>
    <w:aliases w:val="Small Caps76"/>
    <w:uiPriority w:val="99"/>
    <w:rsid w:val="00260DE7"/>
    <w:rPr>
      <w:rFonts w:ascii="Angsana New" w:eastAsia="Times New Roman" w:hAnsi="Angsana New" w:cs="Angsana New"/>
      <w:smallCaps/>
      <w:spacing w:val="0"/>
      <w:sz w:val="32"/>
      <w:szCs w:val="32"/>
      <w:shd w:val="clear" w:color="auto" w:fill="FFFFFF"/>
    </w:rPr>
  </w:style>
  <w:style w:type="character" w:customStyle="1" w:styleId="Bodytext416pt4">
    <w:name w:val="Body text (4) + 16 pt4"/>
    <w:aliases w:val="Small Caps75"/>
    <w:uiPriority w:val="99"/>
    <w:rsid w:val="00260DE7"/>
    <w:rPr>
      <w:rFonts w:ascii="Angsana New" w:eastAsia="Times New Roman" w:hAnsi="Angsana New" w:cs="Angsana New"/>
      <w:smallCaps/>
      <w:spacing w:val="0"/>
      <w:sz w:val="32"/>
      <w:szCs w:val="32"/>
      <w:shd w:val="clear" w:color="auto" w:fill="FFFFFF"/>
    </w:rPr>
  </w:style>
  <w:style w:type="character" w:customStyle="1" w:styleId="Bodytext16pt53">
    <w:name w:val="Body text + 16 pt53"/>
    <w:aliases w:val="Small Caps74"/>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3NotItalic14">
    <w:name w:val="Body text (3) + Not Italic14"/>
    <w:uiPriority w:val="99"/>
    <w:rsid w:val="00260DE7"/>
    <w:rPr>
      <w:rFonts w:ascii="Angsana New" w:eastAsia="Times New Roman" w:hAnsi="Angsana New" w:cs="Angsana New"/>
      <w:i/>
      <w:iCs/>
      <w:spacing w:val="0"/>
      <w:sz w:val="34"/>
      <w:szCs w:val="34"/>
      <w:shd w:val="clear" w:color="auto" w:fill="FFFFFF"/>
    </w:rPr>
  </w:style>
  <w:style w:type="character" w:customStyle="1" w:styleId="Bodytext16pt52">
    <w:name w:val="Body text + 16 pt52"/>
    <w:aliases w:val="Small Caps73"/>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3">
    <w:name w:val="Body text (13)_"/>
    <w:link w:val="Bodytext130"/>
    <w:uiPriority w:val="99"/>
    <w:locked/>
    <w:rsid w:val="00260DE7"/>
    <w:rPr>
      <w:rFonts w:ascii="Angsana New" w:hAnsi="Angsana New" w:cs="Angsana New"/>
      <w:i/>
      <w:iCs/>
      <w:sz w:val="30"/>
      <w:szCs w:val="30"/>
      <w:shd w:val="clear" w:color="auto" w:fill="FFFFFF"/>
    </w:rPr>
  </w:style>
  <w:style w:type="character" w:customStyle="1" w:styleId="Bodytext416pt3">
    <w:name w:val="Body text (4) + 16 pt3"/>
    <w:aliases w:val="Small Caps72"/>
    <w:uiPriority w:val="99"/>
    <w:rsid w:val="00260DE7"/>
    <w:rPr>
      <w:rFonts w:ascii="Angsana New" w:eastAsia="Times New Roman" w:hAnsi="Angsana New" w:cs="Angsana New"/>
      <w:smallCaps/>
      <w:spacing w:val="0"/>
      <w:sz w:val="32"/>
      <w:szCs w:val="32"/>
      <w:shd w:val="clear" w:color="auto" w:fill="FFFFFF"/>
    </w:rPr>
  </w:style>
  <w:style w:type="character" w:customStyle="1" w:styleId="Bodytext16pt51">
    <w:name w:val="Body text + 16 pt51"/>
    <w:aliases w:val="Small Caps71"/>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36">
    <w:name w:val="Body text + Italic36"/>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16pt50">
    <w:name w:val="Body text + 16 pt50"/>
    <w:aliases w:val="Small Caps70"/>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3NotItalic13">
    <w:name w:val="Body text (3) + Not Italic13"/>
    <w:uiPriority w:val="99"/>
    <w:rsid w:val="00260DE7"/>
    <w:rPr>
      <w:rFonts w:ascii="Angsana New" w:eastAsia="Times New Roman" w:hAnsi="Angsana New" w:cs="Angsana New"/>
      <w:i/>
      <w:iCs/>
      <w:spacing w:val="0"/>
      <w:sz w:val="34"/>
      <w:szCs w:val="34"/>
      <w:shd w:val="clear" w:color="auto" w:fill="FFFFFF"/>
    </w:rPr>
  </w:style>
  <w:style w:type="character" w:customStyle="1" w:styleId="Bodytext16pt49">
    <w:name w:val="Body text + 16 pt49"/>
    <w:aliases w:val="Small Caps69"/>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4">
    <w:name w:val="Body text (14)_"/>
    <w:link w:val="Bodytext140"/>
    <w:uiPriority w:val="99"/>
    <w:locked/>
    <w:rsid w:val="00260DE7"/>
    <w:rPr>
      <w:rFonts w:ascii="Angsana New" w:hAnsi="Angsana New" w:cs="Angsana New"/>
      <w:sz w:val="26"/>
      <w:szCs w:val="26"/>
      <w:shd w:val="clear" w:color="auto" w:fill="FFFFFF"/>
    </w:rPr>
  </w:style>
  <w:style w:type="character" w:customStyle="1" w:styleId="Bodytext3NotItalic12">
    <w:name w:val="Body text (3) + Not Italic12"/>
    <w:uiPriority w:val="99"/>
    <w:rsid w:val="00260DE7"/>
    <w:rPr>
      <w:rFonts w:ascii="Angsana New" w:eastAsia="Times New Roman" w:hAnsi="Angsana New" w:cs="Angsana New"/>
      <w:i/>
      <w:iCs/>
      <w:spacing w:val="0"/>
      <w:sz w:val="34"/>
      <w:szCs w:val="34"/>
      <w:shd w:val="clear" w:color="auto" w:fill="FFFFFF"/>
    </w:rPr>
  </w:style>
  <w:style w:type="character" w:customStyle="1" w:styleId="BodytextItalic35">
    <w:name w:val="Body text + Italic35"/>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Italic34">
    <w:name w:val="Body text + Italic34"/>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Italic33">
    <w:name w:val="Body text + Italic33"/>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3NotItalic11">
    <w:name w:val="Body text (3) + Not Italic11"/>
    <w:uiPriority w:val="99"/>
    <w:rsid w:val="00260DE7"/>
    <w:rPr>
      <w:rFonts w:ascii="Angsana New" w:eastAsia="Times New Roman" w:hAnsi="Angsana New" w:cs="Angsana New"/>
      <w:i/>
      <w:iCs/>
      <w:spacing w:val="0"/>
      <w:sz w:val="34"/>
      <w:szCs w:val="34"/>
      <w:shd w:val="clear" w:color="auto" w:fill="FFFFFF"/>
    </w:rPr>
  </w:style>
  <w:style w:type="character" w:customStyle="1" w:styleId="BodytextItalic32">
    <w:name w:val="Body text + Italic32"/>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16pt48">
    <w:name w:val="Body text + 16 pt48"/>
    <w:aliases w:val="Small Caps67"/>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31">
    <w:name w:val="Body text + Italic31"/>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16pt47">
    <w:name w:val="Body text + 16 pt47"/>
    <w:aliases w:val="Small Caps66"/>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30">
    <w:name w:val="Body text + Italic30"/>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Italic29">
    <w:name w:val="Body text + Italic29"/>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4Italic18">
    <w:name w:val="Body text (4) + Italic18"/>
    <w:uiPriority w:val="99"/>
    <w:rsid w:val="00260DE7"/>
    <w:rPr>
      <w:rFonts w:ascii="Angsana New" w:eastAsia="Times New Roman" w:hAnsi="Angsana New" w:cs="Angsana New"/>
      <w:i/>
      <w:iCs/>
      <w:spacing w:val="0"/>
      <w:sz w:val="30"/>
      <w:szCs w:val="30"/>
      <w:shd w:val="clear" w:color="auto" w:fill="FFFFFF"/>
    </w:rPr>
  </w:style>
  <w:style w:type="character" w:customStyle="1" w:styleId="BodytextItalic28">
    <w:name w:val="Body text + Italic28"/>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16pt46">
    <w:name w:val="Body text + 16 pt46"/>
    <w:aliases w:val="Small Caps65"/>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45">
    <w:name w:val="Body text + 16 pt45"/>
    <w:aliases w:val="Small Caps64"/>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44">
    <w:name w:val="Body text + 16 pt44"/>
    <w:aliases w:val="Small Caps63"/>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43">
    <w:name w:val="Body text + 16 pt43"/>
    <w:aliases w:val="Small Caps62"/>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27">
    <w:name w:val="Body text + Italic27"/>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4Italic17">
    <w:name w:val="Body text (4) + Italic17"/>
    <w:uiPriority w:val="99"/>
    <w:rsid w:val="00260DE7"/>
    <w:rPr>
      <w:rFonts w:ascii="Angsana New" w:eastAsia="Times New Roman" w:hAnsi="Angsana New" w:cs="Angsana New"/>
      <w:i/>
      <w:iCs/>
      <w:spacing w:val="0"/>
      <w:sz w:val="30"/>
      <w:szCs w:val="30"/>
      <w:shd w:val="clear" w:color="auto" w:fill="FFFFFF"/>
    </w:rPr>
  </w:style>
  <w:style w:type="character" w:customStyle="1" w:styleId="Bodytext4Spacing1pt">
    <w:name w:val="Body text (4) + Spacing 1 pt"/>
    <w:uiPriority w:val="99"/>
    <w:rsid w:val="00260DE7"/>
    <w:rPr>
      <w:rFonts w:ascii="Angsana New" w:eastAsia="Times New Roman" w:hAnsi="Angsana New" w:cs="Angsana New"/>
      <w:spacing w:val="20"/>
      <w:sz w:val="30"/>
      <w:szCs w:val="30"/>
      <w:shd w:val="clear" w:color="auto" w:fill="FFFFFF"/>
    </w:rPr>
  </w:style>
  <w:style w:type="character" w:customStyle="1" w:styleId="Bodytext16pt42">
    <w:name w:val="Body text + 16 pt42"/>
    <w:aliases w:val="Small Caps61"/>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41">
    <w:name w:val="Body text + 16 pt41"/>
    <w:aliases w:val="Small Caps60"/>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26">
    <w:name w:val="Body text + Italic26"/>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16pt40">
    <w:name w:val="Body text + 16 pt40"/>
    <w:aliases w:val="Small Caps59"/>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39">
    <w:name w:val="Body text + 16 pt39"/>
    <w:aliases w:val="Small Caps58"/>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4Italic16">
    <w:name w:val="Body text (4) + Italic16"/>
    <w:uiPriority w:val="99"/>
    <w:rsid w:val="00260DE7"/>
    <w:rPr>
      <w:rFonts w:ascii="Angsana New" w:eastAsia="Times New Roman" w:hAnsi="Angsana New" w:cs="Angsana New"/>
      <w:i/>
      <w:iCs/>
      <w:spacing w:val="0"/>
      <w:sz w:val="30"/>
      <w:szCs w:val="30"/>
      <w:shd w:val="clear" w:color="auto" w:fill="FFFFFF"/>
    </w:rPr>
  </w:style>
  <w:style w:type="character" w:customStyle="1" w:styleId="Bodytext4145pt">
    <w:name w:val="Body text (4) + 14.5 pt"/>
    <w:aliases w:val="Small Caps57"/>
    <w:uiPriority w:val="99"/>
    <w:rsid w:val="00260DE7"/>
    <w:rPr>
      <w:rFonts w:ascii="Angsana New" w:eastAsia="Times New Roman" w:hAnsi="Angsana New" w:cs="Angsana New"/>
      <w:smallCaps/>
      <w:spacing w:val="0"/>
      <w:sz w:val="29"/>
      <w:szCs w:val="29"/>
      <w:shd w:val="clear" w:color="auto" w:fill="FFFFFF"/>
    </w:rPr>
  </w:style>
  <w:style w:type="character" w:customStyle="1" w:styleId="Bodytext13125pt">
    <w:name w:val="Body text (13) + 12.5 pt"/>
    <w:aliases w:val="Bold3,Small Caps56,Body text + 10 pt,Italic3"/>
    <w:uiPriority w:val="99"/>
    <w:rsid w:val="00260DE7"/>
    <w:rPr>
      <w:rFonts w:ascii="Angsana New" w:hAnsi="Angsana New" w:cs="Angsana New"/>
      <w:b/>
      <w:bCs/>
      <w:i/>
      <w:iCs/>
      <w:smallCaps/>
      <w:sz w:val="25"/>
      <w:szCs w:val="25"/>
      <w:shd w:val="clear" w:color="auto" w:fill="FFFFFF"/>
    </w:rPr>
  </w:style>
  <w:style w:type="character" w:customStyle="1" w:styleId="Bodytext4145pt11">
    <w:name w:val="Body text (4) + 14.5 pt11"/>
    <w:aliases w:val="Small Caps55"/>
    <w:uiPriority w:val="99"/>
    <w:rsid w:val="00260DE7"/>
    <w:rPr>
      <w:rFonts w:ascii="Angsana New" w:eastAsia="Times New Roman" w:hAnsi="Angsana New" w:cs="Angsana New"/>
      <w:smallCaps/>
      <w:spacing w:val="0"/>
      <w:sz w:val="29"/>
      <w:szCs w:val="29"/>
      <w:shd w:val="clear" w:color="auto" w:fill="FFFFFF"/>
    </w:rPr>
  </w:style>
  <w:style w:type="character" w:customStyle="1" w:styleId="Bodytext4145pt10">
    <w:name w:val="Body text (4) + 14.5 pt10"/>
    <w:aliases w:val="Small Caps54"/>
    <w:uiPriority w:val="99"/>
    <w:rsid w:val="00260DE7"/>
    <w:rPr>
      <w:rFonts w:ascii="Angsana New" w:eastAsia="Times New Roman" w:hAnsi="Angsana New" w:cs="Angsana New"/>
      <w:smallCaps/>
      <w:spacing w:val="0"/>
      <w:sz w:val="29"/>
      <w:szCs w:val="29"/>
      <w:shd w:val="clear" w:color="auto" w:fill="FFFFFF"/>
    </w:rPr>
  </w:style>
  <w:style w:type="character" w:customStyle="1" w:styleId="Bodytext4145pt9">
    <w:name w:val="Body text (4) + 14.5 pt9"/>
    <w:aliases w:val="Small Caps53"/>
    <w:uiPriority w:val="99"/>
    <w:rsid w:val="00260DE7"/>
    <w:rPr>
      <w:rFonts w:ascii="Angsana New" w:eastAsia="Times New Roman" w:hAnsi="Angsana New" w:cs="Angsana New"/>
      <w:smallCaps/>
      <w:spacing w:val="0"/>
      <w:sz w:val="29"/>
      <w:szCs w:val="29"/>
      <w:shd w:val="clear" w:color="auto" w:fill="FFFFFF"/>
    </w:rPr>
  </w:style>
  <w:style w:type="character" w:customStyle="1" w:styleId="Bodytext15">
    <w:name w:val="Body text (15)_"/>
    <w:link w:val="Bodytext150"/>
    <w:uiPriority w:val="99"/>
    <w:locked/>
    <w:rsid w:val="00260DE7"/>
    <w:rPr>
      <w:rFonts w:ascii="Angsana New" w:hAnsi="Angsana New" w:cs="Angsana New"/>
      <w:smallCaps/>
      <w:sz w:val="29"/>
      <w:szCs w:val="29"/>
      <w:shd w:val="clear" w:color="auto" w:fill="FFFFFF"/>
    </w:rPr>
  </w:style>
  <w:style w:type="character" w:customStyle="1" w:styleId="Bodytext14Italic">
    <w:name w:val="Body text (14) + Italic"/>
    <w:uiPriority w:val="99"/>
    <w:rsid w:val="00260DE7"/>
    <w:rPr>
      <w:rFonts w:ascii="Angsana New" w:hAnsi="Angsana New" w:cs="Angsana New"/>
      <w:i/>
      <w:iCs/>
      <w:sz w:val="26"/>
      <w:szCs w:val="26"/>
      <w:shd w:val="clear" w:color="auto" w:fill="FFFFFF"/>
    </w:rPr>
  </w:style>
  <w:style w:type="character" w:customStyle="1" w:styleId="Bodytext14145pt">
    <w:name w:val="Body text (14) + 14.5 pt"/>
    <w:aliases w:val="Small Caps52"/>
    <w:uiPriority w:val="99"/>
    <w:rsid w:val="00260DE7"/>
    <w:rPr>
      <w:rFonts w:ascii="Angsana New" w:hAnsi="Angsana New" w:cs="Angsana New"/>
      <w:smallCaps/>
      <w:sz w:val="29"/>
      <w:szCs w:val="29"/>
      <w:shd w:val="clear" w:color="auto" w:fill="FFFFFF"/>
    </w:rPr>
  </w:style>
  <w:style w:type="character" w:customStyle="1" w:styleId="Bodytext4145pt8">
    <w:name w:val="Body text (4) + 14.5 pt8"/>
    <w:aliases w:val="Small Caps51"/>
    <w:uiPriority w:val="99"/>
    <w:rsid w:val="00260DE7"/>
    <w:rPr>
      <w:rFonts w:ascii="Angsana New" w:eastAsia="Times New Roman" w:hAnsi="Angsana New" w:cs="Angsana New"/>
      <w:smallCaps/>
      <w:spacing w:val="0"/>
      <w:sz w:val="29"/>
      <w:szCs w:val="29"/>
      <w:shd w:val="clear" w:color="auto" w:fill="FFFFFF"/>
    </w:rPr>
  </w:style>
  <w:style w:type="character" w:customStyle="1" w:styleId="Bodytext4145pt7">
    <w:name w:val="Body text (4) + 14.5 pt7"/>
    <w:aliases w:val="Small Caps50"/>
    <w:uiPriority w:val="99"/>
    <w:rsid w:val="00260DE7"/>
    <w:rPr>
      <w:rFonts w:ascii="Angsana New" w:eastAsia="Times New Roman" w:hAnsi="Angsana New" w:cs="Angsana New"/>
      <w:smallCaps/>
      <w:spacing w:val="0"/>
      <w:sz w:val="29"/>
      <w:szCs w:val="29"/>
      <w:shd w:val="clear" w:color="auto" w:fill="FFFFFF"/>
    </w:rPr>
  </w:style>
  <w:style w:type="character" w:customStyle="1" w:styleId="Bodytext4Italic15">
    <w:name w:val="Body text (4) + Italic15"/>
    <w:uiPriority w:val="99"/>
    <w:rsid w:val="00260DE7"/>
    <w:rPr>
      <w:rFonts w:ascii="Angsana New" w:eastAsia="Times New Roman" w:hAnsi="Angsana New" w:cs="Angsana New"/>
      <w:i/>
      <w:iCs/>
      <w:spacing w:val="0"/>
      <w:sz w:val="30"/>
      <w:szCs w:val="30"/>
      <w:shd w:val="clear" w:color="auto" w:fill="FFFFFF"/>
    </w:rPr>
  </w:style>
  <w:style w:type="character" w:customStyle="1" w:styleId="Bodytext14Italic4">
    <w:name w:val="Body text (14) + Italic4"/>
    <w:uiPriority w:val="99"/>
    <w:rsid w:val="00260DE7"/>
    <w:rPr>
      <w:rFonts w:ascii="Angsana New" w:hAnsi="Angsana New" w:cs="Angsana New"/>
      <w:i/>
      <w:iCs/>
      <w:sz w:val="26"/>
      <w:szCs w:val="26"/>
      <w:shd w:val="clear" w:color="auto" w:fill="FFFFFF"/>
    </w:rPr>
  </w:style>
  <w:style w:type="character" w:customStyle="1" w:styleId="Bodytext13NotItalic">
    <w:name w:val="Body text (13) + Not Italic"/>
    <w:basedOn w:val="Bodytext13"/>
    <w:uiPriority w:val="99"/>
    <w:rsid w:val="00260DE7"/>
    <w:rPr>
      <w:rFonts w:ascii="Angsana New" w:hAnsi="Angsana New" w:cs="Angsana New"/>
      <w:i/>
      <w:iCs/>
      <w:sz w:val="30"/>
      <w:szCs w:val="30"/>
      <w:shd w:val="clear" w:color="auto" w:fill="FFFFFF"/>
    </w:rPr>
  </w:style>
  <w:style w:type="character" w:customStyle="1" w:styleId="Bodytext4Italic14">
    <w:name w:val="Body text (4) + Italic14"/>
    <w:uiPriority w:val="99"/>
    <w:rsid w:val="00260DE7"/>
    <w:rPr>
      <w:rFonts w:ascii="Angsana New" w:eastAsia="Times New Roman" w:hAnsi="Angsana New" w:cs="Angsana New"/>
      <w:i/>
      <w:iCs/>
      <w:spacing w:val="0"/>
      <w:sz w:val="30"/>
      <w:szCs w:val="30"/>
      <w:shd w:val="clear" w:color="auto" w:fill="FFFFFF"/>
    </w:rPr>
  </w:style>
  <w:style w:type="character" w:customStyle="1" w:styleId="Bodytext14Italic3">
    <w:name w:val="Body text (14) + Italic3"/>
    <w:uiPriority w:val="99"/>
    <w:rsid w:val="00260DE7"/>
    <w:rPr>
      <w:rFonts w:ascii="Angsana New" w:hAnsi="Angsana New" w:cs="Angsana New"/>
      <w:i/>
      <w:iCs/>
      <w:sz w:val="26"/>
      <w:szCs w:val="26"/>
      <w:shd w:val="clear" w:color="auto" w:fill="FFFFFF"/>
    </w:rPr>
  </w:style>
  <w:style w:type="character" w:customStyle="1" w:styleId="Bodytext14Italic2">
    <w:name w:val="Body text (14) + Italic2"/>
    <w:uiPriority w:val="99"/>
    <w:rsid w:val="00260DE7"/>
    <w:rPr>
      <w:rFonts w:ascii="Angsana New" w:hAnsi="Angsana New" w:cs="Angsana New"/>
      <w:i/>
      <w:iCs/>
      <w:sz w:val="26"/>
      <w:szCs w:val="26"/>
      <w:shd w:val="clear" w:color="auto" w:fill="FFFFFF"/>
    </w:rPr>
  </w:style>
  <w:style w:type="character" w:customStyle="1" w:styleId="Bodytext4Italic13">
    <w:name w:val="Body text (4) + Italic13"/>
    <w:uiPriority w:val="99"/>
    <w:rsid w:val="00260DE7"/>
    <w:rPr>
      <w:rFonts w:ascii="Angsana New" w:eastAsia="Times New Roman" w:hAnsi="Angsana New" w:cs="Angsana New"/>
      <w:i/>
      <w:iCs/>
      <w:spacing w:val="0"/>
      <w:sz w:val="30"/>
      <w:szCs w:val="30"/>
      <w:shd w:val="clear" w:color="auto" w:fill="FFFFFF"/>
    </w:rPr>
  </w:style>
  <w:style w:type="character" w:customStyle="1" w:styleId="Bodytext16">
    <w:name w:val="Body text (16)_"/>
    <w:link w:val="Bodytext160"/>
    <w:uiPriority w:val="99"/>
    <w:locked/>
    <w:rsid w:val="00260DE7"/>
    <w:rPr>
      <w:rFonts w:ascii="Angsana New" w:hAnsi="Angsana New" w:cs="Angsana New"/>
      <w:i/>
      <w:iCs/>
      <w:sz w:val="26"/>
      <w:szCs w:val="26"/>
      <w:shd w:val="clear" w:color="auto" w:fill="FFFFFF"/>
    </w:rPr>
  </w:style>
  <w:style w:type="character" w:customStyle="1" w:styleId="Bodytext16NotItalic">
    <w:name w:val="Body text (16) + Not Italic"/>
    <w:basedOn w:val="Bodytext16"/>
    <w:uiPriority w:val="99"/>
    <w:rsid w:val="00260DE7"/>
    <w:rPr>
      <w:rFonts w:ascii="Angsana New" w:hAnsi="Angsana New" w:cs="Angsana New"/>
      <w:i/>
      <w:iCs/>
      <w:sz w:val="26"/>
      <w:szCs w:val="26"/>
      <w:shd w:val="clear" w:color="auto" w:fill="FFFFFF"/>
    </w:rPr>
  </w:style>
  <w:style w:type="character" w:customStyle="1" w:styleId="Bodytext16NotItalic1">
    <w:name w:val="Body text (16) + Not Italic1"/>
    <w:basedOn w:val="Bodytext16"/>
    <w:uiPriority w:val="99"/>
    <w:rsid w:val="00260DE7"/>
    <w:rPr>
      <w:rFonts w:ascii="Angsana New" w:hAnsi="Angsana New" w:cs="Angsana New"/>
      <w:i/>
      <w:iCs/>
      <w:sz w:val="26"/>
      <w:szCs w:val="26"/>
      <w:shd w:val="clear" w:color="auto" w:fill="FFFFFF"/>
    </w:rPr>
  </w:style>
  <w:style w:type="character" w:customStyle="1" w:styleId="Bodytext4Italic12">
    <w:name w:val="Body text (4) + Italic12"/>
    <w:uiPriority w:val="99"/>
    <w:rsid w:val="00260DE7"/>
    <w:rPr>
      <w:rFonts w:ascii="Angsana New" w:eastAsia="Times New Roman" w:hAnsi="Angsana New" w:cs="Angsana New"/>
      <w:i/>
      <w:iCs/>
      <w:spacing w:val="0"/>
      <w:sz w:val="30"/>
      <w:szCs w:val="30"/>
      <w:shd w:val="clear" w:color="auto" w:fill="FFFFFF"/>
    </w:rPr>
  </w:style>
  <w:style w:type="character" w:customStyle="1" w:styleId="Bodytext14Italic1">
    <w:name w:val="Body text (14) + Italic1"/>
    <w:uiPriority w:val="99"/>
    <w:rsid w:val="00260DE7"/>
    <w:rPr>
      <w:rFonts w:ascii="Angsana New" w:hAnsi="Angsana New" w:cs="Angsana New"/>
      <w:i/>
      <w:iCs/>
      <w:sz w:val="26"/>
      <w:szCs w:val="26"/>
      <w:shd w:val="clear" w:color="auto" w:fill="FFFFFF"/>
    </w:rPr>
  </w:style>
  <w:style w:type="character" w:customStyle="1" w:styleId="Bodytext4Italic11">
    <w:name w:val="Body text (4) + Italic11"/>
    <w:uiPriority w:val="99"/>
    <w:rsid w:val="00260DE7"/>
    <w:rPr>
      <w:rFonts w:ascii="Angsana New" w:eastAsia="Times New Roman" w:hAnsi="Angsana New" w:cs="Angsana New"/>
      <w:i/>
      <w:iCs/>
      <w:spacing w:val="0"/>
      <w:sz w:val="30"/>
      <w:szCs w:val="30"/>
      <w:shd w:val="clear" w:color="auto" w:fill="FFFFFF"/>
    </w:rPr>
  </w:style>
  <w:style w:type="character" w:customStyle="1" w:styleId="Bodytext16pt38">
    <w:name w:val="Body text + 16 pt38"/>
    <w:aliases w:val="Small Caps49"/>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37">
    <w:name w:val="Body text + 16 pt37"/>
    <w:aliases w:val="Small Caps48"/>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36">
    <w:name w:val="Body text + 16 pt36"/>
    <w:aliases w:val="Small Caps47"/>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25">
    <w:name w:val="Body text + Italic25"/>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16pt35">
    <w:name w:val="Body text + 16 pt35"/>
    <w:aliases w:val="Small Caps46"/>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24">
    <w:name w:val="Body text + Italic24"/>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4Italic10">
    <w:name w:val="Body text (4) + Italic10"/>
    <w:uiPriority w:val="99"/>
    <w:rsid w:val="00260DE7"/>
    <w:rPr>
      <w:rFonts w:ascii="Angsana New" w:eastAsia="Times New Roman" w:hAnsi="Angsana New" w:cs="Angsana New"/>
      <w:i/>
      <w:iCs/>
      <w:spacing w:val="0"/>
      <w:sz w:val="30"/>
      <w:szCs w:val="30"/>
      <w:shd w:val="clear" w:color="auto" w:fill="FFFFFF"/>
    </w:rPr>
  </w:style>
  <w:style w:type="character" w:customStyle="1" w:styleId="Bodytext16pt34">
    <w:name w:val="Body text + 16 pt34"/>
    <w:aliases w:val="Small Caps45"/>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33">
    <w:name w:val="Body text + 16 pt33"/>
    <w:aliases w:val="Small Caps44"/>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23">
    <w:name w:val="Body text + Italic23"/>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3NotItalic10">
    <w:name w:val="Body text (3) + Not Italic10"/>
    <w:uiPriority w:val="99"/>
    <w:rsid w:val="00260DE7"/>
    <w:rPr>
      <w:rFonts w:ascii="Angsana New" w:eastAsia="Times New Roman" w:hAnsi="Angsana New" w:cs="Angsana New"/>
      <w:i/>
      <w:iCs/>
      <w:spacing w:val="0"/>
      <w:sz w:val="34"/>
      <w:szCs w:val="34"/>
      <w:shd w:val="clear" w:color="auto" w:fill="FFFFFF"/>
    </w:rPr>
  </w:style>
  <w:style w:type="character" w:customStyle="1" w:styleId="Bodytext16pt32">
    <w:name w:val="Body text + 16 pt32"/>
    <w:aliases w:val="Small Caps43"/>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4Italic9">
    <w:name w:val="Body text (4) + Italic9"/>
    <w:uiPriority w:val="99"/>
    <w:rsid w:val="00260DE7"/>
    <w:rPr>
      <w:rFonts w:ascii="Angsana New" w:eastAsia="Times New Roman" w:hAnsi="Angsana New" w:cs="Angsana New"/>
      <w:i/>
      <w:iCs/>
      <w:spacing w:val="0"/>
      <w:sz w:val="30"/>
      <w:szCs w:val="30"/>
      <w:shd w:val="clear" w:color="auto" w:fill="FFFFFF"/>
    </w:rPr>
  </w:style>
  <w:style w:type="character" w:customStyle="1" w:styleId="Bodytext16pt31">
    <w:name w:val="Body text + 16 pt31"/>
    <w:aliases w:val="Small Caps42"/>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30">
    <w:name w:val="Body text + 16 pt30"/>
    <w:aliases w:val="Small Caps41"/>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29">
    <w:name w:val="Body text + 16 pt29"/>
    <w:aliases w:val="Small Caps40"/>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22">
    <w:name w:val="Body text + Italic22"/>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4145pt6">
    <w:name w:val="Body text (4) + 14.5 pt6"/>
    <w:aliases w:val="Small Caps39"/>
    <w:uiPriority w:val="99"/>
    <w:rsid w:val="00260DE7"/>
    <w:rPr>
      <w:rFonts w:ascii="Angsana New" w:eastAsia="Times New Roman" w:hAnsi="Angsana New" w:cs="Angsana New"/>
      <w:smallCaps/>
      <w:spacing w:val="0"/>
      <w:sz w:val="29"/>
      <w:szCs w:val="29"/>
      <w:shd w:val="clear" w:color="auto" w:fill="FFFFFF"/>
    </w:rPr>
  </w:style>
  <w:style w:type="character" w:customStyle="1" w:styleId="Bodytext4145pt5">
    <w:name w:val="Body text (4) + 14.5 pt5"/>
    <w:aliases w:val="Small Caps38"/>
    <w:uiPriority w:val="99"/>
    <w:rsid w:val="00260DE7"/>
    <w:rPr>
      <w:rFonts w:ascii="Angsana New" w:eastAsia="Times New Roman" w:hAnsi="Angsana New" w:cs="Angsana New"/>
      <w:smallCaps/>
      <w:spacing w:val="0"/>
      <w:sz w:val="29"/>
      <w:szCs w:val="29"/>
      <w:shd w:val="clear" w:color="auto" w:fill="FFFFFF"/>
    </w:rPr>
  </w:style>
  <w:style w:type="character" w:customStyle="1" w:styleId="Bodytext16pt28">
    <w:name w:val="Body text + 16 pt28"/>
    <w:aliases w:val="Small Caps37"/>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21">
    <w:name w:val="Body text + Italic21"/>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3NotItalic9">
    <w:name w:val="Body text (3) + Not Italic9"/>
    <w:uiPriority w:val="99"/>
    <w:rsid w:val="00260DE7"/>
    <w:rPr>
      <w:rFonts w:ascii="Angsana New" w:eastAsia="Times New Roman" w:hAnsi="Angsana New" w:cs="Angsana New"/>
      <w:i/>
      <w:iCs/>
      <w:spacing w:val="0"/>
      <w:sz w:val="34"/>
      <w:szCs w:val="34"/>
      <w:shd w:val="clear" w:color="auto" w:fill="FFFFFF"/>
    </w:rPr>
  </w:style>
  <w:style w:type="character" w:customStyle="1" w:styleId="BodytextItalic20">
    <w:name w:val="Body text + Italic20"/>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Italic19">
    <w:name w:val="Body text + Italic19"/>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Italic18">
    <w:name w:val="Body text + Italic18"/>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16pt27">
    <w:name w:val="Body text + 16 pt27"/>
    <w:aliases w:val="Small Caps36"/>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17">
    <w:name w:val="Body text + Italic17"/>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4Italic8">
    <w:name w:val="Body text (4) + Italic8"/>
    <w:uiPriority w:val="99"/>
    <w:rsid w:val="00260DE7"/>
    <w:rPr>
      <w:rFonts w:ascii="Angsana New" w:eastAsia="Times New Roman" w:hAnsi="Angsana New" w:cs="Angsana New"/>
      <w:i/>
      <w:iCs/>
      <w:spacing w:val="0"/>
      <w:sz w:val="30"/>
      <w:szCs w:val="30"/>
      <w:shd w:val="clear" w:color="auto" w:fill="FFFFFF"/>
    </w:rPr>
  </w:style>
  <w:style w:type="character" w:customStyle="1" w:styleId="BodytextItalic16">
    <w:name w:val="Body text + Italic16"/>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Italic15">
    <w:name w:val="Body text + Italic15"/>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4Italic7">
    <w:name w:val="Body text (4) + Italic7"/>
    <w:uiPriority w:val="99"/>
    <w:rsid w:val="00260DE7"/>
    <w:rPr>
      <w:rFonts w:ascii="Angsana New" w:eastAsia="Times New Roman" w:hAnsi="Angsana New" w:cs="Angsana New"/>
      <w:i/>
      <w:iCs/>
      <w:spacing w:val="0"/>
      <w:sz w:val="30"/>
      <w:szCs w:val="30"/>
      <w:shd w:val="clear" w:color="auto" w:fill="FFFFFF"/>
    </w:rPr>
  </w:style>
  <w:style w:type="character" w:customStyle="1" w:styleId="BodytextItalic14">
    <w:name w:val="Body text + Italic14"/>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16pt26">
    <w:name w:val="Body text + 16 pt26"/>
    <w:aliases w:val="Small Caps35"/>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4145pt4">
    <w:name w:val="Body text (4) + 14.5 pt4"/>
    <w:aliases w:val="Small Caps34"/>
    <w:uiPriority w:val="99"/>
    <w:rsid w:val="00260DE7"/>
    <w:rPr>
      <w:rFonts w:ascii="Angsana New" w:eastAsia="Times New Roman" w:hAnsi="Angsana New" w:cs="Angsana New"/>
      <w:smallCaps/>
      <w:spacing w:val="0"/>
      <w:sz w:val="29"/>
      <w:szCs w:val="29"/>
      <w:shd w:val="clear" w:color="auto" w:fill="FFFFFF"/>
    </w:rPr>
  </w:style>
  <w:style w:type="character" w:customStyle="1" w:styleId="Bodytext4Italic6">
    <w:name w:val="Body text (4) + Italic6"/>
    <w:uiPriority w:val="99"/>
    <w:rsid w:val="00260DE7"/>
    <w:rPr>
      <w:rFonts w:ascii="Angsana New" w:eastAsia="Times New Roman" w:hAnsi="Angsana New" w:cs="Angsana New"/>
      <w:i/>
      <w:iCs/>
      <w:spacing w:val="0"/>
      <w:sz w:val="30"/>
      <w:szCs w:val="30"/>
      <w:shd w:val="clear" w:color="auto" w:fill="FFFFFF"/>
    </w:rPr>
  </w:style>
  <w:style w:type="character" w:customStyle="1" w:styleId="Bodytext16pt25">
    <w:name w:val="Body text + 16 pt25"/>
    <w:aliases w:val="Small Caps33"/>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13">
    <w:name w:val="Body text + Italic13"/>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4Italic5">
    <w:name w:val="Body text (4) + Italic5"/>
    <w:uiPriority w:val="99"/>
    <w:rsid w:val="00260DE7"/>
    <w:rPr>
      <w:rFonts w:ascii="Angsana New" w:eastAsia="Times New Roman" w:hAnsi="Angsana New" w:cs="Angsana New"/>
      <w:i/>
      <w:iCs/>
      <w:spacing w:val="0"/>
      <w:sz w:val="30"/>
      <w:szCs w:val="30"/>
      <w:shd w:val="clear" w:color="auto" w:fill="FFFFFF"/>
    </w:rPr>
  </w:style>
  <w:style w:type="character" w:customStyle="1" w:styleId="BodytextItalic12">
    <w:name w:val="Body text + Italic12"/>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Italic11">
    <w:name w:val="Body text + Italic11"/>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4Italic4">
    <w:name w:val="Body text (4) + Italic4"/>
    <w:uiPriority w:val="99"/>
    <w:rsid w:val="00260DE7"/>
    <w:rPr>
      <w:rFonts w:ascii="Angsana New" w:eastAsia="Times New Roman" w:hAnsi="Angsana New" w:cs="Angsana New"/>
      <w:i/>
      <w:iCs/>
      <w:spacing w:val="0"/>
      <w:sz w:val="30"/>
      <w:szCs w:val="30"/>
      <w:shd w:val="clear" w:color="auto" w:fill="FFFFFF"/>
    </w:rPr>
  </w:style>
  <w:style w:type="character" w:customStyle="1" w:styleId="BodytextItalic10">
    <w:name w:val="Body text + Italic10"/>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3NotItalic8">
    <w:name w:val="Body text (3) + Not Italic8"/>
    <w:uiPriority w:val="99"/>
    <w:rsid w:val="00260DE7"/>
    <w:rPr>
      <w:rFonts w:ascii="Angsana New" w:eastAsia="Times New Roman" w:hAnsi="Angsana New" w:cs="Angsana New"/>
      <w:i/>
      <w:iCs/>
      <w:spacing w:val="0"/>
      <w:sz w:val="34"/>
      <w:szCs w:val="34"/>
      <w:shd w:val="clear" w:color="auto" w:fill="FFFFFF"/>
    </w:rPr>
  </w:style>
  <w:style w:type="character" w:customStyle="1" w:styleId="Bodytext16pt24">
    <w:name w:val="Body text + 16 pt24"/>
    <w:aliases w:val="Small Caps32"/>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Tablecaption">
    <w:name w:val="Table caption_"/>
    <w:link w:val="Tablecaption0"/>
    <w:uiPriority w:val="99"/>
    <w:locked/>
    <w:rsid w:val="00260DE7"/>
    <w:rPr>
      <w:rFonts w:ascii="Angsana New" w:hAnsi="Angsana New" w:cs="Angsana New"/>
      <w:smallCaps/>
      <w:sz w:val="32"/>
      <w:szCs w:val="32"/>
      <w:shd w:val="clear" w:color="auto" w:fill="FFFFFF"/>
    </w:rPr>
  </w:style>
  <w:style w:type="character" w:customStyle="1" w:styleId="Bodytext16pt23">
    <w:name w:val="Body text + 16 pt23"/>
    <w:aliases w:val="Small Caps31"/>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Tablecaption2">
    <w:name w:val="Table caption (2)_"/>
    <w:link w:val="Tablecaption20"/>
    <w:uiPriority w:val="99"/>
    <w:locked/>
    <w:rsid w:val="00260DE7"/>
    <w:rPr>
      <w:rFonts w:ascii="Angsana New" w:hAnsi="Angsana New" w:cs="Angsana New"/>
      <w:sz w:val="34"/>
      <w:szCs w:val="34"/>
      <w:shd w:val="clear" w:color="auto" w:fill="FFFFFF"/>
    </w:rPr>
  </w:style>
  <w:style w:type="character" w:customStyle="1" w:styleId="Bodytext16pt22">
    <w:name w:val="Body text + 16 pt22"/>
    <w:aliases w:val="Small Caps30"/>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7">
    <w:name w:val="Body text (17)_"/>
    <w:link w:val="Bodytext170"/>
    <w:uiPriority w:val="99"/>
    <w:locked/>
    <w:rsid w:val="00260DE7"/>
    <w:rPr>
      <w:rFonts w:ascii="Batang" w:eastAsia="Batang" w:cs="Batang"/>
      <w:noProof/>
      <w:sz w:val="22"/>
      <w:szCs w:val="22"/>
      <w:shd w:val="clear" w:color="auto" w:fill="FFFFFF"/>
    </w:rPr>
  </w:style>
  <w:style w:type="character" w:customStyle="1" w:styleId="Tablecaption3">
    <w:name w:val="Table caption (3)_"/>
    <w:link w:val="Tablecaption30"/>
    <w:uiPriority w:val="99"/>
    <w:locked/>
    <w:rsid w:val="00260DE7"/>
    <w:rPr>
      <w:rFonts w:ascii="Angsana New" w:hAnsi="Angsana New" w:cs="Angsana New"/>
      <w:sz w:val="30"/>
      <w:szCs w:val="30"/>
      <w:shd w:val="clear" w:color="auto" w:fill="FFFFFF"/>
    </w:rPr>
  </w:style>
  <w:style w:type="character" w:customStyle="1" w:styleId="Bodytext217pt">
    <w:name w:val="Body text (2) + 17 pt"/>
    <w:aliases w:val="Not Small Caps2"/>
    <w:uiPriority w:val="99"/>
    <w:rsid w:val="00260DE7"/>
    <w:rPr>
      <w:rFonts w:ascii="Angsana New" w:eastAsia="Times New Roman" w:hAnsi="Angsana New" w:cs="Angsana New"/>
      <w:smallCaps/>
      <w:spacing w:val="0"/>
      <w:sz w:val="34"/>
      <w:szCs w:val="34"/>
      <w:shd w:val="clear" w:color="auto" w:fill="FFFFFF"/>
    </w:rPr>
  </w:style>
  <w:style w:type="character" w:customStyle="1" w:styleId="Tableofcontents">
    <w:name w:val="Table of contents_"/>
    <w:link w:val="Tableofcontents0"/>
    <w:locked/>
    <w:rsid w:val="00260DE7"/>
    <w:rPr>
      <w:rFonts w:ascii="Angsana New" w:hAnsi="Angsana New" w:cs="Angsana New"/>
      <w:sz w:val="34"/>
      <w:szCs w:val="34"/>
      <w:shd w:val="clear" w:color="auto" w:fill="FFFFFF"/>
    </w:rPr>
  </w:style>
  <w:style w:type="character" w:customStyle="1" w:styleId="Bodytext416pt2">
    <w:name w:val="Body text (4) + 16 pt2"/>
    <w:aliases w:val="Small Caps29"/>
    <w:uiPriority w:val="99"/>
    <w:rsid w:val="00260DE7"/>
    <w:rPr>
      <w:rFonts w:ascii="Angsana New" w:eastAsia="Times New Roman" w:hAnsi="Angsana New" w:cs="Angsana New"/>
      <w:smallCaps/>
      <w:spacing w:val="0"/>
      <w:sz w:val="32"/>
      <w:szCs w:val="32"/>
      <w:shd w:val="clear" w:color="auto" w:fill="FFFFFF"/>
    </w:rPr>
  </w:style>
  <w:style w:type="character" w:customStyle="1" w:styleId="Bodytext16pt21">
    <w:name w:val="Body text + 16 pt21"/>
    <w:aliases w:val="Small Caps28"/>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4Italic3">
    <w:name w:val="Body text (4) + Italic3"/>
    <w:uiPriority w:val="99"/>
    <w:rsid w:val="00260DE7"/>
    <w:rPr>
      <w:rFonts w:ascii="Angsana New" w:eastAsia="Times New Roman" w:hAnsi="Angsana New" w:cs="Angsana New"/>
      <w:i/>
      <w:iCs/>
      <w:spacing w:val="0"/>
      <w:sz w:val="30"/>
      <w:szCs w:val="30"/>
      <w:shd w:val="clear" w:color="auto" w:fill="FFFFFF"/>
    </w:rPr>
  </w:style>
  <w:style w:type="character" w:customStyle="1" w:styleId="Bodytext416pt1">
    <w:name w:val="Body text (4) + 16 pt1"/>
    <w:aliases w:val="Small Caps27"/>
    <w:uiPriority w:val="99"/>
    <w:rsid w:val="00260DE7"/>
    <w:rPr>
      <w:rFonts w:ascii="Angsana New" w:eastAsia="Times New Roman" w:hAnsi="Angsana New" w:cs="Angsana New"/>
      <w:smallCaps/>
      <w:spacing w:val="0"/>
      <w:sz w:val="32"/>
      <w:szCs w:val="32"/>
      <w:shd w:val="clear" w:color="auto" w:fill="FFFFFF"/>
    </w:rPr>
  </w:style>
  <w:style w:type="character" w:customStyle="1" w:styleId="Bodytext16pt20">
    <w:name w:val="Body text + 16 pt20"/>
    <w:aliases w:val="Small Caps26,Body text (2) + 16 pt4"/>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19">
    <w:name w:val="Body text + 16 pt19"/>
    <w:aliases w:val="Small Caps25"/>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18">
    <w:name w:val="Body text + 16 pt18"/>
    <w:aliases w:val="Small Caps24"/>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17">
    <w:name w:val="Body text + 16 pt17"/>
    <w:aliases w:val="Small Caps23"/>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Tablecaption17pt1">
    <w:name w:val="Table caption + 17 pt1"/>
    <w:aliases w:val="Not Small Caps1"/>
    <w:uiPriority w:val="99"/>
    <w:rsid w:val="00260DE7"/>
    <w:rPr>
      <w:rFonts w:ascii="Angsana New" w:hAnsi="Angsana New" w:cs="Angsana New"/>
      <w:smallCaps/>
      <w:sz w:val="34"/>
      <w:szCs w:val="34"/>
      <w:shd w:val="clear" w:color="auto" w:fill="FFFFFF"/>
    </w:rPr>
  </w:style>
  <w:style w:type="character" w:customStyle="1" w:styleId="Bodytext18">
    <w:name w:val="Body text (18)_"/>
    <w:link w:val="Bodytext180"/>
    <w:uiPriority w:val="99"/>
    <w:locked/>
    <w:rsid w:val="00260DE7"/>
    <w:rPr>
      <w:rFonts w:ascii="Angsana New" w:hAnsi="Angsana New" w:cs="Angsana New"/>
      <w:b/>
      <w:bCs/>
      <w:i/>
      <w:iCs/>
      <w:spacing w:val="-20"/>
      <w:sz w:val="41"/>
      <w:szCs w:val="41"/>
      <w:shd w:val="clear" w:color="auto" w:fill="FFFFFF"/>
    </w:rPr>
  </w:style>
  <w:style w:type="character" w:customStyle="1" w:styleId="Bodytext16pt16">
    <w:name w:val="Body text + 16 pt16"/>
    <w:aliases w:val="Small Caps22"/>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9">
    <w:name w:val="Body text (19)_"/>
    <w:link w:val="Bodytext190"/>
    <w:uiPriority w:val="99"/>
    <w:locked/>
    <w:rsid w:val="00260DE7"/>
    <w:rPr>
      <w:rFonts w:ascii="Angsana New" w:hAnsi="Angsana New" w:cs="Angsana New"/>
      <w:noProof/>
      <w:sz w:val="18"/>
      <w:szCs w:val="18"/>
      <w:shd w:val="clear" w:color="auto" w:fill="FFFFFF"/>
    </w:rPr>
  </w:style>
  <w:style w:type="character" w:customStyle="1" w:styleId="Bodytext13NotItalic1">
    <w:name w:val="Body text (13) + Not Italic1"/>
    <w:basedOn w:val="Bodytext13"/>
    <w:uiPriority w:val="99"/>
    <w:rsid w:val="00260DE7"/>
    <w:rPr>
      <w:rFonts w:ascii="Angsana New" w:hAnsi="Angsana New" w:cs="Angsana New"/>
      <w:i/>
      <w:iCs/>
      <w:sz w:val="30"/>
      <w:szCs w:val="30"/>
      <w:shd w:val="clear" w:color="auto" w:fill="FFFFFF"/>
    </w:rPr>
  </w:style>
  <w:style w:type="character" w:customStyle="1" w:styleId="Bodytext4Italic2">
    <w:name w:val="Body text (4) + Italic2"/>
    <w:uiPriority w:val="99"/>
    <w:rsid w:val="00260DE7"/>
    <w:rPr>
      <w:rFonts w:ascii="Angsana New" w:eastAsia="Times New Roman" w:hAnsi="Angsana New" w:cs="Angsana New"/>
      <w:i/>
      <w:iCs/>
      <w:spacing w:val="0"/>
      <w:sz w:val="30"/>
      <w:szCs w:val="30"/>
      <w:shd w:val="clear" w:color="auto" w:fill="FFFFFF"/>
    </w:rPr>
  </w:style>
  <w:style w:type="character" w:customStyle="1" w:styleId="Bodytext4Spacing1pt4">
    <w:name w:val="Body text (4) + Spacing 1 pt4"/>
    <w:uiPriority w:val="99"/>
    <w:rsid w:val="00260DE7"/>
    <w:rPr>
      <w:rFonts w:ascii="Angsana New" w:eastAsia="Times New Roman" w:hAnsi="Angsana New" w:cs="Angsana New"/>
      <w:spacing w:val="20"/>
      <w:sz w:val="30"/>
      <w:szCs w:val="30"/>
      <w:shd w:val="clear" w:color="auto" w:fill="FFFFFF"/>
    </w:rPr>
  </w:style>
  <w:style w:type="character" w:customStyle="1" w:styleId="Bodytext16pt15">
    <w:name w:val="Body text + 16 pt15"/>
    <w:aliases w:val="Small Caps21"/>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3NotItalic7">
    <w:name w:val="Body text (3) + Not Italic7"/>
    <w:uiPriority w:val="99"/>
    <w:rsid w:val="00260DE7"/>
    <w:rPr>
      <w:rFonts w:ascii="Angsana New" w:eastAsia="Times New Roman" w:hAnsi="Angsana New" w:cs="Angsana New"/>
      <w:i/>
      <w:iCs/>
      <w:spacing w:val="0"/>
      <w:sz w:val="34"/>
      <w:szCs w:val="34"/>
      <w:shd w:val="clear" w:color="auto" w:fill="FFFFFF"/>
    </w:rPr>
  </w:style>
  <w:style w:type="character" w:customStyle="1" w:styleId="Bodytext3145pt1">
    <w:name w:val="Body text (3) + 14.5 pt1"/>
    <w:aliases w:val="Bold2,Small Caps20,Body text (5) + 10 pt"/>
    <w:uiPriority w:val="99"/>
    <w:rsid w:val="00260DE7"/>
    <w:rPr>
      <w:rFonts w:ascii="Angsana New" w:eastAsia="Times New Roman" w:hAnsi="Angsana New" w:cs="Angsana New"/>
      <w:b/>
      <w:bCs/>
      <w:i/>
      <w:iCs/>
      <w:smallCaps/>
      <w:spacing w:val="0"/>
      <w:sz w:val="29"/>
      <w:szCs w:val="29"/>
      <w:shd w:val="clear" w:color="auto" w:fill="FFFFFF"/>
    </w:rPr>
  </w:style>
  <w:style w:type="character" w:customStyle="1" w:styleId="BodytextItalic9">
    <w:name w:val="Body text + Italic9"/>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145pt">
    <w:name w:val="Body text + 14.5 pt"/>
    <w:aliases w:val="Bold1,Italic2,Small Caps19,Body text + 14 pt,Heading #2 + 16.5 pt,Spacing 0 pt1,Body text + 10 pt1"/>
    <w:uiPriority w:val="99"/>
    <w:rsid w:val="00260DE7"/>
    <w:rPr>
      <w:rFonts w:ascii="Angsana New" w:eastAsia="Times New Roman" w:hAnsi="Angsana New" w:cs="Angsana New"/>
      <w:b/>
      <w:bCs/>
      <w:i/>
      <w:iCs/>
      <w:smallCaps/>
      <w:strike w:val="0"/>
      <w:spacing w:val="0"/>
      <w:sz w:val="29"/>
      <w:szCs w:val="29"/>
    </w:rPr>
  </w:style>
  <w:style w:type="character" w:customStyle="1" w:styleId="Bodytext16pt14">
    <w:name w:val="Body text + 16 pt14"/>
    <w:aliases w:val="Small Caps18"/>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8">
    <w:name w:val="Body text + Italic8"/>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16pt13">
    <w:name w:val="Body text + 16 pt13"/>
    <w:aliases w:val="Small Caps17"/>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4Italic1">
    <w:name w:val="Body text (4) + Italic1"/>
    <w:uiPriority w:val="99"/>
    <w:rsid w:val="00260DE7"/>
    <w:rPr>
      <w:rFonts w:ascii="Angsana New" w:eastAsia="Times New Roman" w:hAnsi="Angsana New" w:cs="Angsana New"/>
      <w:i/>
      <w:iCs/>
      <w:spacing w:val="0"/>
      <w:sz w:val="30"/>
      <w:szCs w:val="30"/>
      <w:shd w:val="clear" w:color="auto" w:fill="FFFFFF"/>
    </w:rPr>
  </w:style>
  <w:style w:type="character" w:customStyle="1" w:styleId="Bodytext4Spacing1pt3">
    <w:name w:val="Body text (4) + Spacing 1 pt3"/>
    <w:uiPriority w:val="99"/>
    <w:rsid w:val="00260DE7"/>
    <w:rPr>
      <w:rFonts w:ascii="Angsana New" w:eastAsia="Times New Roman" w:hAnsi="Angsana New" w:cs="Angsana New"/>
      <w:spacing w:val="20"/>
      <w:sz w:val="30"/>
      <w:szCs w:val="30"/>
      <w:shd w:val="clear" w:color="auto" w:fill="FFFFFF"/>
    </w:rPr>
  </w:style>
  <w:style w:type="character" w:customStyle="1" w:styleId="BodytextItalic7">
    <w:name w:val="Body text + Italic7"/>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15pt1">
    <w:name w:val="Body text + 15 pt1"/>
    <w:uiPriority w:val="99"/>
    <w:rsid w:val="00260DE7"/>
    <w:rPr>
      <w:rFonts w:ascii="Angsana New" w:eastAsia="Times New Roman" w:hAnsi="Angsana New" w:cs="Angsana New"/>
      <w:b w:val="0"/>
      <w:bCs w:val="0"/>
      <w:i w:val="0"/>
      <w:iCs w:val="0"/>
      <w:smallCaps w:val="0"/>
      <w:strike w:val="0"/>
      <w:spacing w:val="0"/>
      <w:sz w:val="30"/>
      <w:szCs w:val="30"/>
    </w:rPr>
  </w:style>
  <w:style w:type="character" w:customStyle="1" w:styleId="Bodytext3NotItalic6">
    <w:name w:val="Body text (3) + Not Italic6"/>
    <w:uiPriority w:val="99"/>
    <w:rsid w:val="00260DE7"/>
    <w:rPr>
      <w:rFonts w:ascii="Angsana New" w:eastAsia="Times New Roman" w:hAnsi="Angsana New" w:cs="Angsana New"/>
      <w:i/>
      <w:iCs/>
      <w:spacing w:val="0"/>
      <w:sz w:val="34"/>
      <w:szCs w:val="34"/>
      <w:shd w:val="clear" w:color="auto" w:fill="FFFFFF"/>
    </w:rPr>
  </w:style>
  <w:style w:type="character" w:customStyle="1" w:styleId="Bodytext16pt12">
    <w:name w:val="Body text + 16 pt12"/>
    <w:aliases w:val="Small Caps16"/>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11">
    <w:name w:val="Body text + 16 pt11"/>
    <w:aliases w:val="Small Caps15"/>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6">
    <w:name w:val="Body text + Italic6"/>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3NotItalic5">
    <w:name w:val="Body text (3) + Not Italic5"/>
    <w:uiPriority w:val="99"/>
    <w:rsid w:val="00260DE7"/>
    <w:rPr>
      <w:rFonts w:ascii="Angsana New" w:eastAsia="Times New Roman" w:hAnsi="Angsana New" w:cs="Angsana New"/>
      <w:i/>
      <w:iCs/>
      <w:spacing w:val="0"/>
      <w:sz w:val="34"/>
      <w:szCs w:val="34"/>
      <w:shd w:val="clear" w:color="auto" w:fill="FFFFFF"/>
    </w:rPr>
  </w:style>
  <w:style w:type="character" w:customStyle="1" w:styleId="Bodytext16pt10">
    <w:name w:val="Body text + 16 pt10"/>
    <w:aliases w:val="Small Caps14"/>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16pt9">
    <w:name w:val="Body text + 16 pt9"/>
    <w:aliases w:val="Small Caps13"/>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3NotItalic4">
    <w:name w:val="Body text (3) + Not Italic4"/>
    <w:uiPriority w:val="99"/>
    <w:rsid w:val="00260DE7"/>
    <w:rPr>
      <w:rFonts w:ascii="Angsana New" w:eastAsia="Times New Roman" w:hAnsi="Angsana New" w:cs="Angsana New"/>
      <w:i/>
      <w:iCs/>
      <w:spacing w:val="0"/>
      <w:sz w:val="34"/>
      <w:szCs w:val="34"/>
      <w:shd w:val="clear" w:color="auto" w:fill="FFFFFF"/>
    </w:rPr>
  </w:style>
  <w:style w:type="character" w:customStyle="1" w:styleId="Bodytext4145pt3">
    <w:name w:val="Body text (4) + 14.5 pt3"/>
    <w:aliases w:val="Small Caps12"/>
    <w:uiPriority w:val="99"/>
    <w:rsid w:val="00260DE7"/>
    <w:rPr>
      <w:rFonts w:ascii="Angsana New" w:eastAsia="Times New Roman" w:hAnsi="Angsana New" w:cs="Angsana New"/>
      <w:smallCaps/>
      <w:spacing w:val="0"/>
      <w:sz w:val="29"/>
      <w:szCs w:val="29"/>
      <w:shd w:val="clear" w:color="auto" w:fill="FFFFFF"/>
    </w:rPr>
  </w:style>
  <w:style w:type="character" w:customStyle="1" w:styleId="Bodytext4Spacing1pt2">
    <w:name w:val="Body text (4) + Spacing 1 pt2"/>
    <w:uiPriority w:val="99"/>
    <w:rsid w:val="00260DE7"/>
    <w:rPr>
      <w:rFonts w:ascii="Angsana New" w:eastAsia="Times New Roman" w:hAnsi="Angsana New" w:cs="Angsana New"/>
      <w:spacing w:val="20"/>
      <w:sz w:val="30"/>
      <w:szCs w:val="30"/>
      <w:shd w:val="clear" w:color="auto" w:fill="FFFFFF"/>
    </w:rPr>
  </w:style>
  <w:style w:type="character" w:customStyle="1" w:styleId="Bodytext16pt8">
    <w:name w:val="Body text + 16 pt8"/>
    <w:aliases w:val="Small Caps11,Body text (2) + 16 pt3"/>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4145pt2">
    <w:name w:val="Body text (4) + 14.5 pt2"/>
    <w:aliases w:val="Small Caps10"/>
    <w:uiPriority w:val="99"/>
    <w:rsid w:val="00260DE7"/>
    <w:rPr>
      <w:rFonts w:ascii="Angsana New" w:eastAsia="Times New Roman" w:hAnsi="Angsana New" w:cs="Angsana New"/>
      <w:smallCaps/>
      <w:spacing w:val="0"/>
      <w:sz w:val="29"/>
      <w:szCs w:val="29"/>
      <w:shd w:val="clear" w:color="auto" w:fill="FFFFFF"/>
    </w:rPr>
  </w:style>
  <w:style w:type="character" w:customStyle="1" w:styleId="Bodytext16pt7">
    <w:name w:val="Body text + 16 pt7"/>
    <w:aliases w:val="Small Caps9,Body text (2) + 16 pt2"/>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5">
    <w:name w:val="Body text + Italic5"/>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16pt6">
    <w:name w:val="Body text + 16 pt6"/>
    <w:aliases w:val="Small Caps8"/>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3NotItalic3">
    <w:name w:val="Body text (3) + Not Italic3"/>
    <w:uiPriority w:val="99"/>
    <w:rsid w:val="00260DE7"/>
    <w:rPr>
      <w:rFonts w:ascii="Angsana New" w:eastAsia="Times New Roman" w:hAnsi="Angsana New" w:cs="Angsana New"/>
      <w:i/>
      <w:iCs/>
      <w:spacing w:val="0"/>
      <w:sz w:val="34"/>
      <w:szCs w:val="34"/>
      <w:shd w:val="clear" w:color="auto" w:fill="FFFFFF"/>
    </w:rPr>
  </w:style>
  <w:style w:type="character" w:customStyle="1" w:styleId="BodytextItalic4">
    <w:name w:val="Body text + Italic4"/>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145pt1">
    <w:name w:val="Body text + 14.5 pt1"/>
    <w:aliases w:val="Small Caps7"/>
    <w:uiPriority w:val="99"/>
    <w:rsid w:val="00260DE7"/>
    <w:rPr>
      <w:rFonts w:ascii="Angsana New" w:eastAsia="Times New Roman" w:hAnsi="Angsana New" w:cs="Angsana New"/>
      <w:b w:val="0"/>
      <w:bCs w:val="0"/>
      <w:i w:val="0"/>
      <w:iCs w:val="0"/>
      <w:smallCaps/>
      <w:strike w:val="0"/>
      <w:spacing w:val="0"/>
      <w:sz w:val="29"/>
      <w:szCs w:val="29"/>
    </w:rPr>
  </w:style>
  <w:style w:type="character" w:customStyle="1" w:styleId="BodytextItalic3">
    <w:name w:val="Body text + Italic3"/>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16pt5">
    <w:name w:val="Body text + 16 pt5"/>
    <w:aliases w:val="Small Caps6"/>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4145pt1">
    <w:name w:val="Body text (4) + 14.5 pt1"/>
    <w:aliases w:val="Small Caps5,Body text (2) + 16 pt1"/>
    <w:uiPriority w:val="99"/>
    <w:rsid w:val="00260DE7"/>
    <w:rPr>
      <w:rFonts w:ascii="Angsana New" w:eastAsia="Times New Roman" w:hAnsi="Angsana New" w:cs="Angsana New"/>
      <w:smallCaps/>
      <w:spacing w:val="0"/>
      <w:sz w:val="29"/>
      <w:szCs w:val="29"/>
      <w:shd w:val="clear" w:color="auto" w:fill="FFFFFF"/>
    </w:rPr>
  </w:style>
  <w:style w:type="character" w:customStyle="1" w:styleId="Bodytext4Spacing1pt1">
    <w:name w:val="Body text (4) + Spacing 1 pt1"/>
    <w:uiPriority w:val="99"/>
    <w:rsid w:val="00260DE7"/>
    <w:rPr>
      <w:rFonts w:ascii="Angsana New" w:eastAsia="Times New Roman" w:hAnsi="Angsana New" w:cs="Angsana New"/>
      <w:spacing w:val="20"/>
      <w:sz w:val="30"/>
      <w:szCs w:val="30"/>
      <w:shd w:val="clear" w:color="auto" w:fill="FFFFFF"/>
    </w:rPr>
  </w:style>
  <w:style w:type="character" w:customStyle="1" w:styleId="Bodytext16pt4">
    <w:name w:val="Body text + 16 pt4"/>
    <w:aliases w:val="Small Caps4"/>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3NotItalic2">
    <w:name w:val="Body text (3) + Not Italic2"/>
    <w:uiPriority w:val="99"/>
    <w:rsid w:val="00260DE7"/>
    <w:rPr>
      <w:rFonts w:ascii="Angsana New" w:eastAsia="Times New Roman" w:hAnsi="Angsana New" w:cs="Angsana New"/>
      <w:i/>
      <w:iCs/>
      <w:spacing w:val="0"/>
      <w:sz w:val="34"/>
      <w:szCs w:val="34"/>
      <w:shd w:val="clear" w:color="auto" w:fill="FFFFFF"/>
    </w:rPr>
  </w:style>
  <w:style w:type="character" w:customStyle="1" w:styleId="Bodytext16pt3">
    <w:name w:val="Body text + 16 pt3"/>
    <w:aliases w:val="Small Caps3"/>
    <w:uiPriority w:val="99"/>
    <w:rsid w:val="00260DE7"/>
    <w:rPr>
      <w:rFonts w:ascii="Angsana New" w:eastAsia="Times New Roman" w:hAnsi="Angsana New" w:cs="Angsana New"/>
      <w:b w:val="0"/>
      <w:bCs w:val="0"/>
      <w:i w:val="0"/>
      <w:iCs w:val="0"/>
      <w:smallCaps/>
      <w:strike w:val="0"/>
      <w:spacing w:val="0"/>
      <w:sz w:val="32"/>
      <w:szCs w:val="32"/>
    </w:rPr>
  </w:style>
  <w:style w:type="character" w:customStyle="1" w:styleId="BodytextItalic2">
    <w:name w:val="Body text + Italic2"/>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Spacing-1pt">
    <w:name w:val="Body text + Spacing -1 pt"/>
    <w:uiPriority w:val="99"/>
    <w:rsid w:val="00260DE7"/>
    <w:rPr>
      <w:rFonts w:ascii="Angsana New" w:eastAsia="Times New Roman" w:hAnsi="Angsana New" w:cs="Angsana New"/>
      <w:b w:val="0"/>
      <w:bCs w:val="0"/>
      <w:i w:val="0"/>
      <w:iCs w:val="0"/>
      <w:smallCaps w:val="0"/>
      <w:strike w:val="0"/>
      <w:spacing w:val="-30"/>
      <w:sz w:val="34"/>
      <w:szCs w:val="34"/>
    </w:rPr>
  </w:style>
  <w:style w:type="character" w:customStyle="1" w:styleId="BodytextItalic1">
    <w:name w:val="Body text + Italic1"/>
    <w:uiPriority w:val="99"/>
    <w:rsid w:val="00260DE7"/>
    <w:rPr>
      <w:rFonts w:ascii="Angsana New" w:eastAsia="Times New Roman" w:hAnsi="Angsana New" w:cs="Angsana New"/>
      <w:b w:val="0"/>
      <w:bCs w:val="0"/>
      <w:i/>
      <w:iCs/>
      <w:smallCaps w:val="0"/>
      <w:strike w:val="0"/>
      <w:spacing w:val="0"/>
      <w:sz w:val="34"/>
      <w:szCs w:val="34"/>
    </w:rPr>
  </w:style>
  <w:style w:type="character" w:customStyle="1" w:styleId="Bodytext3NotItalic1">
    <w:name w:val="Body text (3) + Not Italic1"/>
    <w:uiPriority w:val="99"/>
    <w:rsid w:val="00260DE7"/>
    <w:rPr>
      <w:rFonts w:ascii="Angsana New" w:eastAsia="Times New Roman" w:hAnsi="Angsana New" w:cs="Angsana New"/>
      <w:i/>
      <w:iCs/>
      <w:spacing w:val="0"/>
      <w:sz w:val="34"/>
      <w:szCs w:val="34"/>
      <w:shd w:val="clear" w:color="auto" w:fill="FFFFFF"/>
    </w:rPr>
  </w:style>
  <w:style w:type="character" w:customStyle="1" w:styleId="Bodytext16pt2">
    <w:name w:val="Body text + 16 pt2"/>
    <w:aliases w:val="Italic1,Small Caps2"/>
    <w:uiPriority w:val="99"/>
    <w:rsid w:val="00260DE7"/>
    <w:rPr>
      <w:rFonts w:ascii="Angsana New" w:eastAsia="Times New Roman" w:hAnsi="Angsana New" w:cs="Angsana New"/>
      <w:b w:val="0"/>
      <w:bCs w:val="0"/>
      <w:i/>
      <w:iCs/>
      <w:smallCaps/>
      <w:strike w:val="0"/>
      <w:spacing w:val="0"/>
      <w:sz w:val="32"/>
      <w:szCs w:val="32"/>
    </w:rPr>
  </w:style>
  <w:style w:type="character" w:customStyle="1" w:styleId="Bodytext16pt1">
    <w:name w:val="Body text + 16 pt1"/>
    <w:aliases w:val="Small Caps1"/>
    <w:uiPriority w:val="99"/>
    <w:rsid w:val="00260DE7"/>
    <w:rPr>
      <w:rFonts w:ascii="Angsana New" w:eastAsia="Times New Roman" w:hAnsi="Angsana New" w:cs="Angsana New"/>
      <w:b w:val="0"/>
      <w:bCs w:val="0"/>
      <w:i w:val="0"/>
      <w:iCs w:val="0"/>
      <w:smallCaps/>
      <w:strike w:val="0"/>
      <w:spacing w:val="0"/>
      <w:sz w:val="32"/>
      <w:szCs w:val="32"/>
    </w:rPr>
  </w:style>
  <w:style w:type="paragraph" w:customStyle="1" w:styleId="Bodytext80">
    <w:name w:val="Body text (8)"/>
    <w:basedOn w:val="Normal"/>
    <w:link w:val="Bodytext8"/>
    <w:rsid w:val="00260DE7"/>
    <w:pPr>
      <w:shd w:val="clear" w:color="auto" w:fill="FFFFFF"/>
      <w:spacing w:line="240" w:lineRule="atLeast"/>
    </w:pPr>
    <w:rPr>
      <w:rFonts w:ascii="Angsana New" w:hAnsi="Angsana New" w:cs="Angsana New"/>
      <w:noProof/>
      <w:sz w:val="8"/>
      <w:szCs w:val="8"/>
      <w:lang w:val="en-US" w:eastAsia="en-US"/>
    </w:rPr>
  </w:style>
  <w:style w:type="paragraph" w:customStyle="1" w:styleId="Bodytext101">
    <w:name w:val="Body text (10)"/>
    <w:basedOn w:val="Normal"/>
    <w:link w:val="Bodytext100"/>
    <w:rsid w:val="00260DE7"/>
    <w:pPr>
      <w:shd w:val="clear" w:color="auto" w:fill="FFFFFF"/>
      <w:spacing w:line="240" w:lineRule="atLeast"/>
    </w:pPr>
    <w:rPr>
      <w:rFonts w:ascii="Trebuchet MS" w:hAnsi="Trebuchet MS" w:cs="Trebuchet MS"/>
      <w:noProof/>
      <w:sz w:val="8"/>
      <w:szCs w:val="8"/>
      <w:lang w:val="en-US" w:eastAsia="en-US"/>
    </w:rPr>
  </w:style>
  <w:style w:type="paragraph" w:customStyle="1" w:styleId="Bodytext110">
    <w:name w:val="Body text (11)"/>
    <w:basedOn w:val="Normal"/>
    <w:link w:val="Bodytext11"/>
    <w:uiPriority w:val="99"/>
    <w:rsid w:val="00260DE7"/>
    <w:pPr>
      <w:shd w:val="clear" w:color="auto" w:fill="FFFFFF"/>
      <w:spacing w:line="240" w:lineRule="atLeast"/>
    </w:pPr>
    <w:rPr>
      <w:rFonts w:ascii="Trebuchet MS" w:hAnsi="Trebuchet MS" w:cs="Trebuchet MS"/>
      <w:noProof/>
      <w:sz w:val="8"/>
      <w:szCs w:val="8"/>
      <w:lang w:val="en-US" w:eastAsia="en-US"/>
    </w:rPr>
  </w:style>
  <w:style w:type="paragraph" w:customStyle="1" w:styleId="Bodytext120">
    <w:name w:val="Body text (12)"/>
    <w:basedOn w:val="Normal"/>
    <w:link w:val="Bodytext12"/>
    <w:uiPriority w:val="99"/>
    <w:rsid w:val="00260DE7"/>
    <w:pPr>
      <w:shd w:val="clear" w:color="auto" w:fill="FFFFFF"/>
      <w:spacing w:line="240" w:lineRule="atLeast"/>
    </w:pPr>
    <w:rPr>
      <w:rFonts w:ascii="Angsana New" w:hAnsi="Angsana New" w:cs="Angsana New"/>
      <w:noProof/>
      <w:sz w:val="8"/>
      <w:szCs w:val="8"/>
      <w:lang w:val="en-US" w:eastAsia="en-US"/>
    </w:rPr>
  </w:style>
  <w:style w:type="paragraph" w:customStyle="1" w:styleId="Bodytext130">
    <w:name w:val="Body text (13)"/>
    <w:basedOn w:val="Normal"/>
    <w:link w:val="Bodytext13"/>
    <w:uiPriority w:val="99"/>
    <w:rsid w:val="00260DE7"/>
    <w:pPr>
      <w:shd w:val="clear" w:color="auto" w:fill="FFFFFF"/>
      <w:spacing w:before="180" w:line="252" w:lineRule="exact"/>
      <w:jc w:val="both"/>
    </w:pPr>
    <w:rPr>
      <w:rFonts w:ascii="Angsana New" w:hAnsi="Angsana New" w:cs="Angsana New"/>
      <w:i/>
      <w:iCs/>
      <w:sz w:val="30"/>
      <w:szCs w:val="30"/>
      <w:lang w:val="en-US" w:eastAsia="en-US"/>
    </w:rPr>
  </w:style>
  <w:style w:type="paragraph" w:customStyle="1" w:styleId="Bodytext140">
    <w:name w:val="Body text (14)"/>
    <w:basedOn w:val="Normal"/>
    <w:link w:val="Bodytext14"/>
    <w:uiPriority w:val="99"/>
    <w:rsid w:val="00260DE7"/>
    <w:pPr>
      <w:shd w:val="clear" w:color="auto" w:fill="FFFFFF"/>
      <w:spacing w:before="240" w:line="240" w:lineRule="atLeast"/>
      <w:ind w:hanging="460"/>
      <w:jc w:val="both"/>
    </w:pPr>
    <w:rPr>
      <w:rFonts w:ascii="Angsana New" w:hAnsi="Angsana New" w:cs="Angsana New"/>
      <w:sz w:val="26"/>
      <w:szCs w:val="26"/>
      <w:lang w:val="en-US" w:eastAsia="en-US"/>
    </w:rPr>
  </w:style>
  <w:style w:type="paragraph" w:customStyle="1" w:styleId="Bodytext150">
    <w:name w:val="Body text (15)"/>
    <w:basedOn w:val="Normal"/>
    <w:link w:val="Bodytext15"/>
    <w:uiPriority w:val="99"/>
    <w:rsid w:val="00260DE7"/>
    <w:pPr>
      <w:shd w:val="clear" w:color="auto" w:fill="FFFFFF"/>
      <w:spacing w:before="420" w:after="240" w:line="240" w:lineRule="atLeast"/>
      <w:jc w:val="both"/>
    </w:pPr>
    <w:rPr>
      <w:rFonts w:ascii="Angsana New" w:hAnsi="Angsana New" w:cs="Angsana New"/>
      <w:smallCaps/>
      <w:sz w:val="29"/>
      <w:szCs w:val="29"/>
      <w:lang w:val="en-US" w:eastAsia="en-US"/>
    </w:rPr>
  </w:style>
  <w:style w:type="paragraph" w:customStyle="1" w:styleId="Bodytext160">
    <w:name w:val="Body text (16)"/>
    <w:basedOn w:val="Normal"/>
    <w:link w:val="Bodytext16"/>
    <w:uiPriority w:val="99"/>
    <w:rsid w:val="00260DE7"/>
    <w:pPr>
      <w:shd w:val="clear" w:color="auto" w:fill="FFFFFF"/>
      <w:spacing w:before="180" w:line="223" w:lineRule="exact"/>
      <w:jc w:val="both"/>
    </w:pPr>
    <w:rPr>
      <w:rFonts w:ascii="Angsana New" w:hAnsi="Angsana New" w:cs="Angsana New"/>
      <w:i/>
      <w:iCs/>
      <w:sz w:val="26"/>
      <w:szCs w:val="26"/>
      <w:lang w:val="en-US" w:eastAsia="en-US"/>
    </w:rPr>
  </w:style>
  <w:style w:type="paragraph" w:customStyle="1" w:styleId="Tablecaption0">
    <w:name w:val="Table caption"/>
    <w:basedOn w:val="Normal"/>
    <w:link w:val="Tablecaption"/>
    <w:uiPriority w:val="99"/>
    <w:rsid w:val="00260DE7"/>
    <w:pPr>
      <w:shd w:val="clear" w:color="auto" w:fill="FFFFFF"/>
      <w:spacing w:line="277" w:lineRule="exact"/>
      <w:jc w:val="center"/>
    </w:pPr>
    <w:rPr>
      <w:rFonts w:ascii="Angsana New" w:hAnsi="Angsana New" w:cs="Angsana New"/>
      <w:smallCaps/>
      <w:sz w:val="32"/>
      <w:szCs w:val="32"/>
      <w:lang w:val="en-US" w:eastAsia="en-US"/>
    </w:rPr>
  </w:style>
  <w:style w:type="paragraph" w:customStyle="1" w:styleId="Tablecaption20">
    <w:name w:val="Table caption (2)"/>
    <w:basedOn w:val="Normal"/>
    <w:link w:val="Tablecaption2"/>
    <w:uiPriority w:val="99"/>
    <w:rsid w:val="00260DE7"/>
    <w:pPr>
      <w:shd w:val="clear" w:color="auto" w:fill="FFFFFF"/>
      <w:spacing w:line="240" w:lineRule="atLeast"/>
    </w:pPr>
    <w:rPr>
      <w:rFonts w:ascii="Angsana New" w:hAnsi="Angsana New" w:cs="Angsana New"/>
      <w:sz w:val="34"/>
      <w:szCs w:val="34"/>
      <w:lang w:val="en-US" w:eastAsia="en-US"/>
    </w:rPr>
  </w:style>
  <w:style w:type="paragraph" w:customStyle="1" w:styleId="Bodytext170">
    <w:name w:val="Body text (17)"/>
    <w:basedOn w:val="Normal"/>
    <w:link w:val="Bodytext17"/>
    <w:uiPriority w:val="99"/>
    <w:rsid w:val="00260DE7"/>
    <w:pPr>
      <w:shd w:val="clear" w:color="auto" w:fill="FFFFFF"/>
      <w:spacing w:line="240" w:lineRule="atLeast"/>
    </w:pPr>
    <w:rPr>
      <w:rFonts w:ascii="Batang" w:eastAsia="Batang" w:cs="Batang"/>
      <w:noProof/>
      <w:sz w:val="22"/>
      <w:szCs w:val="22"/>
      <w:lang w:val="en-US" w:eastAsia="en-US"/>
    </w:rPr>
  </w:style>
  <w:style w:type="paragraph" w:customStyle="1" w:styleId="Tablecaption30">
    <w:name w:val="Table caption (3)"/>
    <w:basedOn w:val="Normal"/>
    <w:link w:val="Tablecaption3"/>
    <w:uiPriority w:val="99"/>
    <w:rsid w:val="00260DE7"/>
    <w:pPr>
      <w:shd w:val="clear" w:color="auto" w:fill="FFFFFF"/>
      <w:spacing w:line="240" w:lineRule="atLeast"/>
    </w:pPr>
    <w:rPr>
      <w:rFonts w:ascii="Angsana New" w:hAnsi="Angsana New" w:cs="Angsana New"/>
      <w:sz w:val="30"/>
      <w:szCs w:val="30"/>
      <w:lang w:val="en-US" w:eastAsia="en-US"/>
    </w:rPr>
  </w:style>
  <w:style w:type="paragraph" w:customStyle="1" w:styleId="Tableofcontents0">
    <w:name w:val="Table of contents"/>
    <w:basedOn w:val="Normal"/>
    <w:link w:val="Tableofcontents"/>
    <w:rsid w:val="00260DE7"/>
    <w:pPr>
      <w:shd w:val="clear" w:color="auto" w:fill="FFFFFF"/>
      <w:spacing w:before="360" w:after="360" w:line="240" w:lineRule="atLeast"/>
      <w:jc w:val="both"/>
    </w:pPr>
    <w:rPr>
      <w:rFonts w:ascii="Angsana New" w:hAnsi="Angsana New" w:cs="Angsana New"/>
      <w:sz w:val="34"/>
      <w:szCs w:val="34"/>
      <w:lang w:val="en-US" w:eastAsia="en-US"/>
    </w:rPr>
  </w:style>
  <w:style w:type="paragraph" w:customStyle="1" w:styleId="Bodytext180">
    <w:name w:val="Body text (18)"/>
    <w:basedOn w:val="Normal"/>
    <w:link w:val="Bodytext18"/>
    <w:uiPriority w:val="99"/>
    <w:rsid w:val="00260DE7"/>
    <w:pPr>
      <w:shd w:val="clear" w:color="auto" w:fill="FFFFFF"/>
      <w:spacing w:line="240" w:lineRule="atLeast"/>
    </w:pPr>
    <w:rPr>
      <w:rFonts w:ascii="Angsana New" w:hAnsi="Angsana New" w:cs="Angsana New"/>
      <w:b/>
      <w:bCs/>
      <w:i/>
      <w:iCs/>
      <w:spacing w:val="-20"/>
      <w:sz w:val="41"/>
      <w:szCs w:val="41"/>
      <w:lang w:val="en-US" w:eastAsia="en-US"/>
    </w:rPr>
  </w:style>
  <w:style w:type="paragraph" w:customStyle="1" w:styleId="Bodytext190">
    <w:name w:val="Body text (19)"/>
    <w:basedOn w:val="Normal"/>
    <w:link w:val="Bodytext19"/>
    <w:uiPriority w:val="99"/>
    <w:rsid w:val="00260DE7"/>
    <w:pPr>
      <w:shd w:val="clear" w:color="auto" w:fill="FFFFFF"/>
      <w:spacing w:before="720" w:line="240" w:lineRule="atLeast"/>
      <w:ind w:hanging="260"/>
    </w:pPr>
    <w:rPr>
      <w:rFonts w:ascii="Angsana New" w:hAnsi="Angsana New" w:cs="Angsana New"/>
      <w:noProof/>
      <w:sz w:val="18"/>
      <w:szCs w:val="18"/>
      <w:lang w:val="en-US" w:eastAsia="en-US"/>
    </w:rPr>
  </w:style>
  <w:style w:type="table" w:styleId="TableGrid">
    <w:name w:val="Table Grid"/>
    <w:basedOn w:val="TableNormal"/>
    <w:uiPriority w:val="59"/>
    <w:rsid w:val="00260DE7"/>
    <w:rPr>
      <w:rFonts w:ascii="Arial Unicode MS" w:eastAsia="Arial Unicode MS" w:hAnsi="Arial Unicode MS"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Italic">
    <w:name w:val="Body text (2) + Italic"/>
    <w:uiPriority w:val="99"/>
    <w:rsid w:val="00260DE7"/>
    <w:rPr>
      <w:rFonts w:ascii="Angsana New" w:eastAsia="Times New Roman" w:hAnsi="Angsana New" w:cs="Angsana New"/>
      <w:i/>
      <w:iCs/>
      <w:smallCaps/>
      <w:spacing w:val="0"/>
      <w:sz w:val="31"/>
      <w:szCs w:val="31"/>
      <w:shd w:val="clear" w:color="auto" w:fill="FFFFFF"/>
    </w:rPr>
  </w:style>
  <w:style w:type="character" w:customStyle="1" w:styleId="Bodytext2Italic1">
    <w:name w:val="Body text (2) + Italic1"/>
    <w:uiPriority w:val="99"/>
    <w:rsid w:val="00260DE7"/>
    <w:rPr>
      <w:rFonts w:ascii="Angsana New" w:eastAsia="Times New Roman" w:hAnsi="Angsana New" w:cs="Angsana New"/>
      <w:i/>
      <w:iCs/>
      <w:smallCaps/>
      <w:spacing w:val="0"/>
      <w:sz w:val="31"/>
      <w:szCs w:val="31"/>
      <w:shd w:val="clear" w:color="auto" w:fill="FFFFFF"/>
    </w:rPr>
  </w:style>
  <w:style w:type="character" w:customStyle="1" w:styleId="Bodytext24">
    <w:name w:val="Body text (2)4"/>
    <w:uiPriority w:val="99"/>
    <w:rsid w:val="00260DE7"/>
    <w:rPr>
      <w:rFonts w:ascii="Angsana New" w:eastAsia="Times New Roman" w:hAnsi="Angsana New" w:cs="Angsana New"/>
      <w:smallCaps/>
      <w:spacing w:val="0"/>
      <w:sz w:val="31"/>
      <w:szCs w:val="31"/>
      <w:shd w:val="clear" w:color="auto" w:fill="FFFFFF"/>
    </w:rPr>
  </w:style>
  <w:style w:type="character" w:customStyle="1" w:styleId="Bodytext2Spacing2pt">
    <w:name w:val="Body text (2) + Spacing 2 pt"/>
    <w:uiPriority w:val="99"/>
    <w:rsid w:val="00260DE7"/>
    <w:rPr>
      <w:rFonts w:ascii="Angsana New" w:eastAsia="Times New Roman" w:hAnsi="Angsana New" w:cs="Angsana New"/>
      <w:smallCaps/>
      <w:spacing w:val="50"/>
      <w:sz w:val="31"/>
      <w:szCs w:val="31"/>
      <w:shd w:val="clear" w:color="auto" w:fill="FFFFFF"/>
    </w:rPr>
  </w:style>
  <w:style w:type="character" w:customStyle="1" w:styleId="Bodytext155pt">
    <w:name w:val="Body text + 15.5 pt"/>
    <w:uiPriority w:val="99"/>
    <w:rsid w:val="00260DE7"/>
    <w:rPr>
      <w:rFonts w:ascii="Angsana New" w:eastAsia="Times New Roman" w:hAnsi="Angsana New" w:cs="Angsana New"/>
      <w:b w:val="0"/>
      <w:bCs w:val="0"/>
      <w:i w:val="0"/>
      <w:iCs w:val="0"/>
      <w:smallCaps w:val="0"/>
      <w:strike w:val="0"/>
      <w:spacing w:val="0"/>
      <w:sz w:val="31"/>
      <w:szCs w:val="31"/>
    </w:rPr>
  </w:style>
  <w:style w:type="character" w:customStyle="1" w:styleId="Bodytext23">
    <w:name w:val="Body text (2)3"/>
    <w:uiPriority w:val="99"/>
    <w:rsid w:val="00260DE7"/>
    <w:rPr>
      <w:rFonts w:ascii="Angsana New" w:eastAsia="Times New Roman" w:hAnsi="Angsana New" w:cs="Angsana New"/>
      <w:smallCaps/>
      <w:spacing w:val="0"/>
      <w:sz w:val="31"/>
      <w:szCs w:val="31"/>
      <w:shd w:val="clear" w:color="auto" w:fill="FFFFFF"/>
    </w:rPr>
  </w:style>
  <w:style w:type="character" w:customStyle="1" w:styleId="Bodytext22">
    <w:name w:val="Body text (2)2"/>
    <w:uiPriority w:val="99"/>
    <w:rsid w:val="00260DE7"/>
    <w:rPr>
      <w:rFonts w:ascii="Angsana New" w:eastAsia="Times New Roman" w:hAnsi="Angsana New" w:cs="Angsana New"/>
      <w:smallCaps/>
      <w:spacing w:val="0"/>
      <w:sz w:val="31"/>
      <w:szCs w:val="31"/>
      <w:shd w:val="clear" w:color="auto" w:fill="FFFFFF"/>
    </w:rPr>
  </w:style>
  <w:style w:type="paragraph" w:customStyle="1" w:styleId="Bodytext21">
    <w:name w:val="Body text (2)1"/>
    <w:basedOn w:val="Normal"/>
    <w:uiPriority w:val="99"/>
    <w:rsid w:val="00260DE7"/>
    <w:pPr>
      <w:shd w:val="clear" w:color="auto" w:fill="FFFFFF"/>
      <w:spacing w:before="180" w:after="180" w:line="252" w:lineRule="exact"/>
      <w:ind w:hanging="280"/>
      <w:jc w:val="both"/>
    </w:pPr>
    <w:rPr>
      <w:rFonts w:ascii="Angsana New" w:eastAsia="Arial Unicode MS" w:hAnsi="Angsana New" w:cs="Angsana New"/>
      <w:sz w:val="31"/>
      <w:szCs w:val="31"/>
      <w:lang w:val="en-US" w:eastAsia="en-US"/>
    </w:rPr>
  </w:style>
  <w:style w:type="paragraph" w:styleId="TOC1">
    <w:name w:val="toc 1"/>
    <w:basedOn w:val="Normal"/>
    <w:next w:val="Normal"/>
    <w:link w:val="TOC1Char"/>
    <w:autoRedefine/>
    <w:uiPriority w:val="39"/>
    <w:unhideWhenUsed/>
    <w:rsid w:val="00041FD7"/>
    <w:pPr>
      <w:tabs>
        <w:tab w:val="right" w:leader="dot" w:pos="10061"/>
      </w:tabs>
      <w:jc w:val="center"/>
    </w:pPr>
    <w:rPr>
      <w:rFonts w:ascii="Arial Unicode MS" w:eastAsia="Arial Unicode MS" w:hAnsi="Arial Unicode MS" w:cs="Arial Unicode MS"/>
      <w:color w:val="000000"/>
      <w:sz w:val="24"/>
      <w:szCs w:val="24"/>
      <w:lang w:val="en-US" w:eastAsia="en-US"/>
    </w:rPr>
  </w:style>
  <w:style w:type="character" w:customStyle="1" w:styleId="Bodytext2Exact">
    <w:name w:val="Body text (2) Exact"/>
    <w:rsid w:val="00052C8B"/>
    <w:rPr>
      <w:rFonts w:ascii="Bookman Old Style" w:eastAsia="Bookman Old Style" w:hAnsi="Bookman Old Style" w:cs="Bookman Old Style"/>
      <w:b w:val="0"/>
      <w:bCs w:val="0"/>
      <w:i/>
      <w:iCs/>
      <w:smallCaps w:val="0"/>
      <w:strike w:val="0"/>
      <w:spacing w:val="2"/>
      <w:sz w:val="14"/>
      <w:szCs w:val="14"/>
      <w:u w:val="none"/>
    </w:rPr>
  </w:style>
  <w:style w:type="character" w:customStyle="1" w:styleId="BodytextExact">
    <w:name w:val="Body text Exact"/>
    <w:rsid w:val="00052C8B"/>
    <w:rPr>
      <w:rFonts w:ascii="Bookman Old Style" w:eastAsia="Bookman Old Style" w:hAnsi="Bookman Old Style" w:cs="Bookman Old Style"/>
      <w:b w:val="0"/>
      <w:bCs w:val="0"/>
      <w:i w:val="0"/>
      <w:iCs w:val="0"/>
      <w:smallCaps w:val="0"/>
      <w:strike w:val="0"/>
      <w:spacing w:val="7"/>
      <w:sz w:val="14"/>
      <w:szCs w:val="14"/>
      <w:u w:val="none"/>
    </w:rPr>
  </w:style>
  <w:style w:type="character" w:customStyle="1" w:styleId="BodytextSmallCapsExact">
    <w:name w:val="Body text + Small Caps Exact"/>
    <w:rsid w:val="00052C8B"/>
    <w:rPr>
      <w:rFonts w:ascii="Bookman Old Style" w:eastAsia="Bookman Old Style" w:hAnsi="Bookman Old Style" w:cs="Bookman Old Style"/>
      <w:b w:val="0"/>
      <w:bCs w:val="0"/>
      <w:i w:val="0"/>
      <w:iCs w:val="0"/>
      <w:smallCaps/>
      <w:strike w:val="0"/>
      <w:spacing w:val="7"/>
      <w:sz w:val="14"/>
      <w:szCs w:val="14"/>
      <w:u w:val="none"/>
    </w:rPr>
  </w:style>
  <w:style w:type="character" w:customStyle="1" w:styleId="Bodytext4Exact">
    <w:name w:val="Body text (4) Exact"/>
    <w:rsid w:val="00052C8B"/>
    <w:rPr>
      <w:rFonts w:ascii="Bookman Old Style" w:eastAsia="Bookman Old Style" w:hAnsi="Bookman Old Style" w:cs="Bookman Old Style"/>
      <w:b/>
      <w:bCs/>
      <w:i w:val="0"/>
      <w:iCs w:val="0"/>
      <w:smallCaps w:val="0"/>
      <w:strike w:val="0"/>
      <w:spacing w:val="7"/>
      <w:sz w:val="13"/>
      <w:szCs w:val="13"/>
      <w:u w:val="none"/>
    </w:rPr>
  </w:style>
  <w:style w:type="character" w:customStyle="1" w:styleId="Bodytext5Exact">
    <w:name w:val="Body text (5) Exact"/>
    <w:rsid w:val="00052C8B"/>
    <w:rPr>
      <w:rFonts w:ascii="FrankRuehl" w:eastAsia="FrankRuehl" w:hAnsi="FrankRuehl" w:cs="FrankRuehl"/>
      <w:b w:val="0"/>
      <w:bCs w:val="0"/>
      <w:i/>
      <w:iCs/>
      <w:smallCaps w:val="0"/>
      <w:strike w:val="0"/>
      <w:sz w:val="8"/>
      <w:szCs w:val="8"/>
      <w:u w:val="none"/>
    </w:rPr>
  </w:style>
  <w:style w:type="character" w:customStyle="1" w:styleId="Bodytext5CenturyGothic">
    <w:name w:val="Body text (5) + Century Gothic"/>
    <w:aliases w:val="7 pt,Bold Exact"/>
    <w:rsid w:val="00052C8B"/>
    <w:rPr>
      <w:rFonts w:ascii="Century Gothic" w:eastAsia="Century Gothic" w:hAnsi="Century Gothic" w:cs="Century Gothic"/>
      <w:b/>
      <w:bCs/>
      <w:i/>
      <w:iCs/>
      <w:smallCaps w:val="0"/>
      <w:strike w:val="0"/>
      <w:color w:val="000000"/>
      <w:spacing w:val="0"/>
      <w:w w:val="100"/>
      <w:position w:val="0"/>
      <w:sz w:val="14"/>
      <w:szCs w:val="14"/>
      <w:u w:val="none"/>
      <w:lang w:val="en-US" w:eastAsia="en-US" w:bidi="en-US"/>
    </w:rPr>
  </w:style>
  <w:style w:type="character" w:customStyle="1" w:styleId="Bodytext6Exact">
    <w:name w:val="Body text (6) Exact"/>
    <w:rsid w:val="00052C8B"/>
    <w:rPr>
      <w:rFonts w:ascii="Century Gothic" w:eastAsia="Century Gothic" w:hAnsi="Century Gothic" w:cs="Century Gothic"/>
      <w:b/>
      <w:bCs/>
      <w:i w:val="0"/>
      <w:iCs w:val="0"/>
      <w:smallCaps w:val="0"/>
      <w:strike w:val="0"/>
      <w:spacing w:val="3"/>
      <w:sz w:val="14"/>
      <w:szCs w:val="14"/>
      <w:u w:val="none"/>
    </w:rPr>
  </w:style>
  <w:style w:type="character" w:customStyle="1" w:styleId="Bodytext6SmallCapsExact">
    <w:name w:val="Body text (6) + Small Caps Exact"/>
    <w:rsid w:val="00052C8B"/>
    <w:rPr>
      <w:rFonts w:ascii="Century Gothic" w:eastAsia="Century Gothic" w:hAnsi="Century Gothic" w:cs="Century Gothic"/>
      <w:b/>
      <w:bCs/>
      <w:i w:val="0"/>
      <w:iCs w:val="0"/>
      <w:smallCaps/>
      <w:strike w:val="0"/>
      <w:spacing w:val="3"/>
      <w:sz w:val="14"/>
      <w:szCs w:val="14"/>
      <w:u w:val="none"/>
      <w:shd w:val="clear" w:color="auto" w:fill="FFFFFF"/>
    </w:rPr>
  </w:style>
  <w:style w:type="character" w:customStyle="1" w:styleId="Bodytext3SmallCaps">
    <w:name w:val="Body text (3) + Small Caps"/>
    <w:rsid w:val="00052C8B"/>
    <w:rPr>
      <w:rFonts w:ascii="Bookman Old Style" w:eastAsia="Bookman Old Style" w:hAnsi="Bookman Old Style" w:cs="Bookman Old Style"/>
      <w:b w:val="0"/>
      <w:bCs w:val="0"/>
      <w:i w:val="0"/>
      <w:iCs w:val="0"/>
      <w:smallCaps/>
      <w:strike w:val="0"/>
      <w:color w:val="000000"/>
      <w:spacing w:val="0"/>
      <w:w w:val="100"/>
      <w:position w:val="0"/>
      <w:sz w:val="14"/>
      <w:szCs w:val="14"/>
      <w:u w:val="none"/>
      <w:shd w:val="clear" w:color="auto" w:fill="FFFFFF"/>
      <w:lang w:val="en-US" w:eastAsia="en-US" w:bidi="en-US"/>
    </w:rPr>
  </w:style>
  <w:style w:type="character" w:customStyle="1" w:styleId="Bodytext645pt">
    <w:name w:val="Body text (6) + 4.5 pt"/>
    <w:rsid w:val="00052C8B"/>
    <w:rPr>
      <w:rFonts w:ascii="Century Gothic" w:eastAsia="Century Gothic" w:hAnsi="Century Gothic" w:cs="Century Gothic"/>
      <w:b/>
      <w:bCs/>
      <w:i w:val="0"/>
      <w:iCs w:val="0"/>
      <w:smallCaps w:val="0"/>
      <w:strike w:val="0"/>
      <w:color w:val="000000"/>
      <w:spacing w:val="0"/>
      <w:w w:val="100"/>
      <w:position w:val="0"/>
      <w:sz w:val="9"/>
      <w:szCs w:val="9"/>
      <w:u w:val="none"/>
      <w:shd w:val="clear" w:color="auto" w:fill="FFFFFF"/>
      <w:lang w:val="en-US" w:eastAsia="en-US" w:bidi="en-US"/>
    </w:rPr>
  </w:style>
  <w:style w:type="character" w:customStyle="1" w:styleId="Bodytext7SmallCaps">
    <w:name w:val="Body text (7) + Small Caps"/>
    <w:rsid w:val="00052C8B"/>
    <w:rPr>
      <w:rFonts w:ascii="Bookman Old Style" w:eastAsia="Bookman Old Style" w:hAnsi="Bookman Old Style" w:cs="Bookman Old Style"/>
      <w:b/>
      <w:bCs/>
      <w:i w:val="0"/>
      <w:iCs w:val="0"/>
      <w:smallCaps/>
      <w:strike w:val="0"/>
      <w:color w:val="000000"/>
      <w:spacing w:val="0"/>
      <w:w w:val="100"/>
      <w:position w:val="0"/>
      <w:sz w:val="14"/>
      <w:szCs w:val="14"/>
      <w:u w:val="none"/>
      <w:shd w:val="clear" w:color="auto" w:fill="FFFFFF"/>
      <w:lang w:val="en-US" w:eastAsia="en-US" w:bidi="en-US"/>
    </w:rPr>
  </w:style>
  <w:style w:type="character" w:customStyle="1" w:styleId="Bodytext9Bold">
    <w:name w:val="Body text (9) + Bold"/>
    <w:rsid w:val="00052C8B"/>
    <w:rPr>
      <w:rFonts w:ascii="Bookman Old Style" w:eastAsia="Bookman Old Style" w:hAnsi="Bookman Old Style" w:cs="Bookman Old Style"/>
      <w:b/>
      <w:bCs/>
      <w:i w:val="0"/>
      <w:iCs w:val="0"/>
      <w:smallCaps w:val="0"/>
      <w:strike w:val="0"/>
      <w:color w:val="000000"/>
      <w:spacing w:val="0"/>
      <w:w w:val="100"/>
      <w:position w:val="0"/>
      <w:sz w:val="14"/>
      <w:szCs w:val="14"/>
      <w:u w:val="none"/>
      <w:lang w:val="en-US" w:eastAsia="en-US" w:bidi="en-US"/>
    </w:rPr>
  </w:style>
  <w:style w:type="character" w:customStyle="1" w:styleId="Bodytext10Exact">
    <w:name w:val="Body text (10) Exact"/>
    <w:rsid w:val="00052C8B"/>
    <w:rPr>
      <w:rFonts w:ascii="Century Gothic" w:eastAsia="Century Gothic" w:hAnsi="Century Gothic" w:cs="Century Gothic"/>
      <w:b/>
      <w:bCs/>
      <w:i w:val="0"/>
      <w:iCs w:val="0"/>
      <w:smallCaps w:val="0"/>
      <w:strike w:val="0"/>
      <w:spacing w:val="5"/>
      <w:sz w:val="14"/>
      <w:szCs w:val="14"/>
      <w:u w:val="none"/>
    </w:rPr>
  </w:style>
  <w:style w:type="character" w:customStyle="1" w:styleId="Bodytext4SmallCapsExact">
    <w:name w:val="Body text (4) + Small Caps Exact"/>
    <w:rsid w:val="00052C8B"/>
    <w:rPr>
      <w:rFonts w:ascii="Bookman Old Style" w:eastAsia="Bookman Old Style" w:hAnsi="Bookman Old Style" w:cs="Bookman Old Style"/>
      <w:b/>
      <w:bCs/>
      <w:i w:val="0"/>
      <w:iCs w:val="0"/>
      <w:smallCaps/>
      <w:strike w:val="0"/>
      <w:color w:val="000000"/>
      <w:spacing w:val="7"/>
      <w:w w:val="100"/>
      <w:position w:val="0"/>
      <w:sz w:val="13"/>
      <w:szCs w:val="13"/>
      <w:u w:val="none"/>
      <w:lang w:val="en-US" w:eastAsia="en-US" w:bidi="en-US"/>
    </w:rPr>
  </w:style>
  <w:style w:type="character" w:customStyle="1" w:styleId="BodytextSmallCaps">
    <w:name w:val="Body text + Small Caps"/>
    <w:rsid w:val="00052C8B"/>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en-US" w:eastAsia="en-US" w:bidi="en-US"/>
    </w:rPr>
  </w:style>
  <w:style w:type="character" w:customStyle="1" w:styleId="Bodytext7pt">
    <w:name w:val="Body text + 7 pt"/>
    <w:rsid w:val="00052C8B"/>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en-US" w:eastAsia="en-US" w:bidi="en-US"/>
    </w:rPr>
  </w:style>
  <w:style w:type="character" w:customStyle="1" w:styleId="gt-ft-text">
    <w:name w:val="gt-ft-text"/>
    <w:basedOn w:val="DefaultParagraphFont"/>
    <w:rsid w:val="0053369B"/>
  </w:style>
  <w:style w:type="character" w:styleId="CommentReference">
    <w:name w:val="annotation reference"/>
    <w:uiPriority w:val="99"/>
    <w:semiHidden/>
    <w:unhideWhenUsed/>
    <w:rsid w:val="003D6871"/>
    <w:rPr>
      <w:sz w:val="16"/>
      <w:szCs w:val="16"/>
    </w:rPr>
  </w:style>
  <w:style w:type="paragraph" w:styleId="CommentText">
    <w:name w:val="annotation text"/>
    <w:basedOn w:val="Normal"/>
    <w:link w:val="CommentTextChar"/>
    <w:uiPriority w:val="99"/>
    <w:semiHidden/>
    <w:unhideWhenUsed/>
    <w:rsid w:val="003D6871"/>
  </w:style>
  <w:style w:type="character" w:customStyle="1" w:styleId="CommentTextChar">
    <w:name w:val="Comment Text Char"/>
    <w:basedOn w:val="DefaultParagraphFont"/>
    <w:link w:val="CommentText"/>
    <w:uiPriority w:val="99"/>
    <w:semiHidden/>
    <w:rsid w:val="003D6871"/>
  </w:style>
  <w:style w:type="paragraph" w:styleId="CommentSubject">
    <w:name w:val="annotation subject"/>
    <w:basedOn w:val="CommentText"/>
    <w:next w:val="CommentText"/>
    <w:link w:val="CommentSubjectChar"/>
    <w:uiPriority w:val="99"/>
    <w:semiHidden/>
    <w:unhideWhenUsed/>
    <w:rsid w:val="003D6871"/>
    <w:rPr>
      <w:b/>
      <w:bCs/>
    </w:rPr>
  </w:style>
  <w:style w:type="character" w:customStyle="1" w:styleId="CommentSubjectChar">
    <w:name w:val="Comment Subject Char"/>
    <w:link w:val="CommentSubject"/>
    <w:uiPriority w:val="99"/>
    <w:semiHidden/>
    <w:rsid w:val="003D6871"/>
    <w:rPr>
      <w:b/>
      <w:bCs/>
    </w:rPr>
  </w:style>
  <w:style w:type="character" w:customStyle="1" w:styleId="Bodytext71">
    <w:name w:val="Body text7"/>
    <w:basedOn w:val="Bodytext"/>
    <w:uiPriority w:val="99"/>
    <w:rsid w:val="003B3957"/>
    <w:rPr>
      <w:rFonts w:ascii="Palatino Linotype" w:eastAsia="Times New Roman" w:hAnsi="Palatino Linotype" w:cs="Palatino Linotype"/>
      <w:b w:val="0"/>
      <w:bCs w:val="0"/>
      <w:i w:val="0"/>
      <w:iCs w:val="0"/>
      <w:smallCaps w:val="0"/>
      <w:strike w:val="0"/>
      <w:spacing w:val="0"/>
      <w:sz w:val="19"/>
      <w:szCs w:val="19"/>
      <w:u w:val="single"/>
    </w:rPr>
  </w:style>
  <w:style w:type="character" w:customStyle="1" w:styleId="Bodytext61">
    <w:name w:val="Body text6"/>
    <w:basedOn w:val="Bodytext"/>
    <w:uiPriority w:val="99"/>
    <w:rsid w:val="003B3957"/>
    <w:rPr>
      <w:rFonts w:ascii="Palatino Linotype" w:eastAsia="Times New Roman" w:hAnsi="Palatino Linotype" w:cs="Palatino Linotype"/>
      <w:b w:val="0"/>
      <w:bCs w:val="0"/>
      <w:i w:val="0"/>
      <w:iCs w:val="0"/>
      <w:smallCaps w:val="0"/>
      <w:strike w:val="0"/>
      <w:noProof/>
      <w:spacing w:val="0"/>
      <w:sz w:val="19"/>
      <w:szCs w:val="19"/>
      <w:u w:val="none"/>
    </w:rPr>
  </w:style>
  <w:style w:type="paragraph" w:customStyle="1" w:styleId="Bodytext1">
    <w:name w:val="Body text1"/>
    <w:basedOn w:val="Normal"/>
    <w:link w:val="Bodytext"/>
    <w:uiPriority w:val="99"/>
    <w:rsid w:val="003B3957"/>
    <w:pPr>
      <w:widowControl w:val="0"/>
      <w:shd w:val="clear" w:color="auto" w:fill="FFFFFF"/>
      <w:spacing w:before="2040" w:line="274" w:lineRule="exact"/>
      <w:ind w:hanging="520"/>
    </w:pPr>
    <w:rPr>
      <w:rFonts w:ascii="Times New Roman" w:eastAsia="Times New Roman" w:hAnsi="Times New Roman" w:cs="Times New Roman"/>
      <w:sz w:val="21"/>
      <w:szCs w:val="21"/>
      <w:lang w:val="en-US" w:eastAsia="en-US"/>
    </w:rPr>
  </w:style>
  <w:style w:type="paragraph" w:styleId="TOC2">
    <w:name w:val="toc 2"/>
    <w:basedOn w:val="Normal"/>
    <w:next w:val="Normal"/>
    <w:autoRedefine/>
    <w:uiPriority w:val="39"/>
    <w:unhideWhenUsed/>
    <w:rsid w:val="00C460EC"/>
    <w:pPr>
      <w:widowControl w:val="0"/>
      <w:numPr>
        <w:numId w:val="58"/>
      </w:numPr>
      <w:tabs>
        <w:tab w:val="left" w:pos="202"/>
        <w:tab w:val="right" w:leader="dot" w:pos="10081"/>
      </w:tabs>
      <w:spacing w:line="360" w:lineRule="auto"/>
    </w:pPr>
  </w:style>
  <w:style w:type="character" w:customStyle="1" w:styleId="TOC1Char">
    <w:name w:val="TOC 1 Char"/>
    <w:basedOn w:val="DefaultParagraphFont"/>
    <w:link w:val="TOC1"/>
    <w:uiPriority w:val="39"/>
    <w:locked/>
    <w:rsid w:val="00041FD7"/>
    <w:rPr>
      <w:rFonts w:ascii="Arial Unicode MS" w:eastAsia="Arial Unicode MS" w:hAnsi="Arial Unicode MS" w:cs="Arial Unicode MS"/>
      <w:color w:val="000000"/>
      <w:sz w:val="24"/>
      <w:szCs w:val="24"/>
    </w:rPr>
  </w:style>
  <w:style w:type="character" w:customStyle="1" w:styleId="Bodytext8pt2">
    <w:name w:val="Body text + 8 pt2"/>
    <w:aliases w:val="Bold5"/>
    <w:basedOn w:val="Bodytext"/>
    <w:uiPriority w:val="99"/>
    <w:rsid w:val="003B3957"/>
    <w:rPr>
      <w:rFonts w:ascii="Palatino Linotype" w:eastAsia="Times New Roman" w:hAnsi="Palatino Linotype" w:cs="Palatino Linotype"/>
      <w:b/>
      <w:bCs/>
      <w:i w:val="0"/>
      <w:iCs w:val="0"/>
      <w:smallCaps w:val="0"/>
      <w:strike w:val="0"/>
      <w:spacing w:val="0"/>
      <w:sz w:val="16"/>
      <w:szCs w:val="16"/>
      <w:u w:val="none"/>
    </w:rPr>
  </w:style>
  <w:style w:type="character" w:customStyle="1" w:styleId="Bodytext8pt1">
    <w:name w:val="Body text + 8 pt1"/>
    <w:aliases w:val="Bold4,Italic4"/>
    <w:basedOn w:val="Bodytext"/>
    <w:uiPriority w:val="99"/>
    <w:rsid w:val="003B3957"/>
    <w:rPr>
      <w:rFonts w:ascii="Palatino Linotype" w:eastAsia="Times New Roman" w:hAnsi="Palatino Linotype" w:cs="Palatino Linotype"/>
      <w:b/>
      <w:bCs/>
      <w:i/>
      <w:iCs/>
      <w:smallCaps w:val="0"/>
      <w:strike w:val="0"/>
      <w:spacing w:val="0"/>
      <w:sz w:val="16"/>
      <w:szCs w:val="16"/>
      <w:u w:val="none"/>
    </w:rPr>
  </w:style>
  <w:style w:type="paragraph" w:styleId="ListParagraph">
    <w:name w:val="List Paragraph"/>
    <w:basedOn w:val="Normal"/>
    <w:uiPriority w:val="34"/>
    <w:qFormat/>
    <w:rsid w:val="003B3957"/>
    <w:pPr>
      <w:ind w:left="720"/>
      <w:contextualSpacing/>
    </w:pPr>
  </w:style>
  <w:style w:type="character" w:customStyle="1" w:styleId="Footnote">
    <w:name w:val="Footnote_"/>
    <w:basedOn w:val="DefaultParagraphFont"/>
    <w:link w:val="Footnote0"/>
    <w:uiPriority w:val="99"/>
    <w:locked/>
    <w:rsid w:val="003B3957"/>
    <w:rPr>
      <w:rFonts w:ascii="Palatino Linotype" w:hAnsi="Palatino Linotype" w:cs="Palatino Linotype"/>
      <w:b/>
      <w:bCs/>
      <w:sz w:val="15"/>
      <w:szCs w:val="15"/>
      <w:shd w:val="clear" w:color="auto" w:fill="FFFFFF"/>
    </w:rPr>
  </w:style>
  <w:style w:type="character" w:customStyle="1" w:styleId="Footnote3">
    <w:name w:val="Footnote (3)_"/>
    <w:basedOn w:val="DefaultParagraphFont"/>
    <w:link w:val="Footnote30"/>
    <w:uiPriority w:val="99"/>
    <w:locked/>
    <w:rsid w:val="003B3957"/>
    <w:rPr>
      <w:rFonts w:ascii="Palatino Linotype" w:hAnsi="Palatino Linotype" w:cs="Palatino Linotype"/>
      <w:b/>
      <w:bCs/>
      <w:i/>
      <w:iCs/>
      <w:sz w:val="15"/>
      <w:szCs w:val="15"/>
      <w:shd w:val="clear" w:color="auto" w:fill="FFFFFF"/>
    </w:rPr>
  </w:style>
  <w:style w:type="character" w:customStyle="1" w:styleId="Footnote3NotItalic">
    <w:name w:val="Footnote (3) + Not Italic"/>
    <w:basedOn w:val="Footnote3"/>
    <w:uiPriority w:val="99"/>
    <w:rsid w:val="003B3957"/>
    <w:rPr>
      <w:rFonts w:ascii="Palatino Linotype" w:hAnsi="Palatino Linotype" w:cs="Palatino Linotype"/>
      <w:b/>
      <w:bCs/>
      <w:i/>
      <w:iCs/>
      <w:sz w:val="15"/>
      <w:szCs w:val="15"/>
      <w:shd w:val="clear" w:color="auto" w:fill="FFFFFF"/>
    </w:rPr>
  </w:style>
  <w:style w:type="character" w:customStyle="1" w:styleId="Heading2">
    <w:name w:val="Heading #2_"/>
    <w:basedOn w:val="DefaultParagraphFont"/>
    <w:link w:val="Heading20"/>
    <w:uiPriority w:val="99"/>
    <w:locked/>
    <w:rsid w:val="003B3957"/>
    <w:rPr>
      <w:rFonts w:ascii="Palatino Linotype" w:hAnsi="Palatino Linotype" w:cs="Palatino Linotype"/>
      <w:b/>
      <w:bCs/>
      <w:sz w:val="30"/>
      <w:szCs w:val="30"/>
      <w:shd w:val="clear" w:color="auto" w:fill="FFFFFF"/>
    </w:rPr>
  </w:style>
  <w:style w:type="paragraph" w:customStyle="1" w:styleId="Footnote0">
    <w:name w:val="Footnote"/>
    <w:basedOn w:val="Normal"/>
    <w:link w:val="Footnote"/>
    <w:uiPriority w:val="99"/>
    <w:rsid w:val="003B3957"/>
    <w:pPr>
      <w:widowControl w:val="0"/>
      <w:shd w:val="clear" w:color="auto" w:fill="FFFFFF"/>
      <w:spacing w:line="245" w:lineRule="exact"/>
    </w:pPr>
    <w:rPr>
      <w:rFonts w:ascii="Palatino Linotype" w:hAnsi="Palatino Linotype" w:cs="Palatino Linotype"/>
      <w:b/>
      <w:bCs/>
      <w:sz w:val="15"/>
      <w:szCs w:val="15"/>
      <w:lang w:val="en-US" w:eastAsia="en-US"/>
    </w:rPr>
  </w:style>
  <w:style w:type="paragraph" w:customStyle="1" w:styleId="Footnote30">
    <w:name w:val="Footnote (3)"/>
    <w:basedOn w:val="Normal"/>
    <w:link w:val="Footnote3"/>
    <w:uiPriority w:val="99"/>
    <w:rsid w:val="003B3957"/>
    <w:pPr>
      <w:widowControl w:val="0"/>
      <w:shd w:val="clear" w:color="auto" w:fill="FFFFFF"/>
      <w:spacing w:line="240" w:lineRule="atLeast"/>
    </w:pPr>
    <w:rPr>
      <w:rFonts w:ascii="Palatino Linotype" w:hAnsi="Palatino Linotype" w:cs="Palatino Linotype"/>
      <w:b/>
      <w:bCs/>
      <w:i/>
      <w:iCs/>
      <w:sz w:val="15"/>
      <w:szCs w:val="15"/>
      <w:lang w:val="en-US" w:eastAsia="en-US"/>
    </w:rPr>
  </w:style>
  <w:style w:type="paragraph" w:customStyle="1" w:styleId="Heading20">
    <w:name w:val="Heading #2"/>
    <w:basedOn w:val="Normal"/>
    <w:link w:val="Heading2"/>
    <w:uiPriority w:val="99"/>
    <w:rsid w:val="003B3957"/>
    <w:pPr>
      <w:widowControl w:val="0"/>
      <w:shd w:val="clear" w:color="auto" w:fill="FFFFFF"/>
      <w:spacing w:before="480" w:after="480" w:line="240" w:lineRule="atLeast"/>
      <w:ind w:hanging="520"/>
      <w:jc w:val="both"/>
      <w:outlineLvl w:val="1"/>
    </w:pPr>
    <w:rPr>
      <w:rFonts w:ascii="Palatino Linotype" w:hAnsi="Palatino Linotype" w:cs="Palatino Linotype"/>
      <w:b/>
      <w:bCs/>
      <w:sz w:val="30"/>
      <w:szCs w:val="30"/>
      <w:lang w:val="en-US" w:eastAsia="en-US"/>
    </w:rPr>
  </w:style>
  <w:style w:type="character" w:customStyle="1" w:styleId="Bodytext5NotItalic">
    <w:name w:val="Body text (5) + Not Italic"/>
    <w:basedOn w:val="Bodytext5"/>
    <w:uiPriority w:val="99"/>
    <w:rsid w:val="003B3957"/>
    <w:rPr>
      <w:rFonts w:ascii="Palatino Linotype" w:eastAsia="Times New Roman" w:hAnsi="Palatino Linotype" w:cs="Palatino Linotype"/>
      <w:b w:val="0"/>
      <w:bCs w:val="0"/>
      <w:i w:val="0"/>
      <w:iCs w:val="0"/>
      <w:smallCaps w:val="0"/>
      <w:strike w:val="0"/>
      <w:spacing w:val="0"/>
      <w:sz w:val="19"/>
      <w:szCs w:val="19"/>
      <w:u w:val="none"/>
    </w:rPr>
  </w:style>
  <w:style w:type="paragraph" w:customStyle="1" w:styleId="Bodytext51">
    <w:name w:val="Body text (5)1"/>
    <w:basedOn w:val="Normal"/>
    <w:link w:val="Bodytext5"/>
    <w:uiPriority w:val="99"/>
    <w:rsid w:val="003B3957"/>
    <w:pPr>
      <w:widowControl w:val="0"/>
      <w:shd w:val="clear" w:color="auto" w:fill="FFFFFF"/>
      <w:spacing w:before="180" w:after="180" w:line="278" w:lineRule="exact"/>
      <w:ind w:hanging="520"/>
    </w:pPr>
    <w:rPr>
      <w:rFonts w:ascii="Times New Roman" w:eastAsia="Times New Roman" w:hAnsi="Times New Roman" w:cs="Times New Roman"/>
      <w:sz w:val="21"/>
      <w:szCs w:val="21"/>
      <w:lang w:val="en-US" w:eastAsia="en-US"/>
    </w:rPr>
  </w:style>
  <w:style w:type="character" w:customStyle="1" w:styleId="FootnoteItalic">
    <w:name w:val="Footnote + Italic"/>
    <w:basedOn w:val="Footnote"/>
    <w:uiPriority w:val="99"/>
    <w:rsid w:val="003B3957"/>
    <w:rPr>
      <w:rFonts w:ascii="Palatino Linotype" w:hAnsi="Palatino Linotype" w:cs="Palatino Linotype"/>
      <w:b/>
      <w:bCs/>
      <w:i/>
      <w:iCs/>
      <w:sz w:val="15"/>
      <w:szCs w:val="15"/>
      <w:u w:val="none"/>
      <w:shd w:val="clear" w:color="auto" w:fill="FFFFFF"/>
    </w:rPr>
  </w:style>
  <w:style w:type="paragraph" w:customStyle="1" w:styleId="BodyText25">
    <w:name w:val="Body Text2"/>
    <w:basedOn w:val="Normal"/>
    <w:rsid w:val="003B3957"/>
    <w:pPr>
      <w:widowControl w:val="0"/>
      <w:shd w:val="clear" w:color="auto" w:fill="FFFFFF"/>
      <w:spacing w:before="780" w:after="240" w:line="283" w:lineRule="exact"/>
      <w:ind w:hanging="520"/>
      <w:jc w:val="both"/>
    </w:pPr>
    <w:rPr>
      <w:rFonts w:ascii="Book Antiqua" w:eastAsia="Book Antiqua" w:hAnsi="Book Antiqua" w:cs="Book Antiqua"/>
      <w:color w:val="000000"/>
      <w:lang w:val="es-ES" w:eastAsia="es-AR"/>
    </w:rPr>
  </w:style>
  <w:style w:type="character" w:customStyle="1" w:styleId="Footnote2Italic">
    <w:name w:val="Footnote (2) + Italic"/>
    <w:basedOn w:val="Footnote2"/>
    <w:uiPriority w:val="99"/>
    <w:rsid w:val="003B3957"/>
    <w:rPr>
      <w:rFonts w:ascii="Palatino Linotype" w:eastAsia="Times New Roman" w:hAnsi="Palatino Linotype" w:cs="Palatino Linotype"/>
      <w:i/>
      <w:iCs/>
      <w:sz w:val="19"/>
      <w:szCs w:val="19"/>
      <w:u w:val="none"/>
      <w:shd w:val="clear" w:color="auto" w:fill="FFFFFF"/>
    </w:rPr>
  </w:style>
  <w:style w:type="character" w:customStyle="1" w:styleId="Footnote7pt">
    <w:name w:val="Footnote + 7 pt"/>
    <w:basedOn w:val="Footnote"/>
    <w:uiPriority w:val="99"/>
    <w:rsid w:val="003B3957"/>
    <w:rPr>
      <w:rFonts w:ascii="Palatino Linotype" w:hAnsi="Palatino Linotype" w:cs="Palatino Linotype"/>
      <w:b/>
      <w:bCs/>
      <w:sz w:val="14"/>
      <w:szCs w:val="14"/>
      <w:u w:val="none"/>
      <w:shd w:val="clear" w:color="auto" w:fill="FFFFFF"/>
    </w:rPr>
  </w:style>
  <w:style w:type="character" w:customStyle="1" w:styleId="Footnote38pt">
    <w:name w:val="Footnote (3) + 8 pt"/>
    <w:basedOn w:val="Footnote3"/>
    <w:uiPriority w:val="99"/>
    <w:rsid w:val="003B3957"/>
    <w:rPr>
      <w:rFonts w:ascii="Palatino Linotype" w:hAnsi="Palatino Linotype" w:cs="Palatino Linotype"/>
      <w:b/>
      <w:bCs/>
      <w:i/>
      <w:iCs/>
      <w:sz w:val="16"/>
      <w:szCs w:val="16"/>
      <w:u w:val="none"/>
      <w:shd w:val="clear" w:color="auto" w:fill="FFFFFF"/>
    </w:rPr>
  </w:style>
  <w:style w:type="character" w:customStyle="1" w:styleId="Heading2Italic">
    <w:name w:val="Heading #2 + Italic"/>
    <w:aliases w:val="Spacing 0 pt"/>
    <w:basedOn w:val="Heading2"/>
    <w:uiPriority w:val="99"/>
    <w:rsid w:val="003B3957"/>
    <w:rPr>
      <w:rFonts w:ascii="Palatino Linotype" w:hAnsi="Palatino Linotype" w:cs="Palatino Linotype"/>
      <w:b/>
      <w:bCs/>
      <w:i/>
      <w:iCs/>
      <w:spacing w:val="-10"/>
      <w:sz w:val="30"/>
      <w:szCs w:val="30"/>
      <w:u w:val="none"/>
      <w:shd w:val="clear" w:color="auto" w:fill="FFFFFF"/>
    </w:rPr>
  </w:style>
  <w:style w:type="character" w:customStyle="1" w:styleId="Bodytext52">
    <w:name w:val="Body text5"/>
    <w:basedOn w:val="Bodytext"/>
    <w:uiPriority w:val="99"/>
    <w:rsid w:val="003B3957"/>
    <w:rPr>
      <w:rFonts w:ascii="Palatino Linotype" w:eastAsia="Times New Roman" w:hAnsi="Palatino Linotype" w:cs="Palatino Linotype"/>
      <w:b w:val="0"/>
      <w:bCs w:val="0"/>
      <w:i w:val="0"/>
      <w:iCs w:val="0"/>
      <w:smallCaps w:val="0"/>
      <w:strike w:val="0"/>
      <w:spacing w:val="0"/>
      <w:sz w:val="19"/>
      <w:szCs w:val="19"/>
      <w:u w:val="none"/>
    </w:rPr>
  </w:style>
  <w:style w:type="character" w:customStyle="1" w:styleId="Bodytext41">
    <w:name w:val="Body text4"/>
    <w:basedOn w:val="Bodytext"/>
    <w:uiPriority w:val="99"/>
    <w:rsid w:val="003B3957"/>
    <w:rPr>
      <w:rFonts w:ascii="Palatino Linotype" w:eastAsia="Times New Roman" w:hAnsi="Palatino Linotype" w:cs="Palatino Linotype"/>
      <w:b w:val="0"/>
      <w:bCs w:val="0"/>
      <w:i w:val="0"/>
      <w:iCs w:val="0"/>
      <w:smallCaps w:val="0"/>
      <w:strike w:val="0"/>
      <w:spacing w:val="0"/>
      <w:sz w:val="19"/>
      <w:szCs w:val="19"/>
      <w:u w:val="single"/>
    </w:rPr>
  </w:style>
  <w:style w:type="character" w:customStyle="1" w:styleId="Footnote8pt1">
    <w:name w:val="Footnote + 8 pt1"/>
    <w:aliases w:val="Italic5"/>
    <w:basedOn w:val="Footnote"/>
    <w:uiPriority w:val="99"/>
    <w:rsid w:val="003B3957"/>
    <w:rPr>
      <w:rFonts w:ascii="Palatino Linotype" w:hAnsi="Palatino Linotype" w:cs="Palatino Linotype"/>
      <w:b/>
      <w:bCs/>
      <w:i/>
      <w:iCs/>
      <w:sz w:val="16"/>
      <w:szCs w:val="16"/>
      <w:u w:val="none"/>
      <w:shd w:val="clear" w:color="auto" w:fill="FFFFFF"/>
    </w:rPr>
  </w:style>
  <w:style w:type="character" w:customStyle="1" w:styleId="Footnote7pt1">
    <w:name w:val="Footnote + 7 pt1"/>
    <w:basedOn w:val="Footnote"/>
    <w:uiPriority w:val="99"/>
    <w:rsid w:val="003B3957"/>
    <w:rPr>
      <w:rFonts w:ascii="Palatino Linotype" w:hAnsi="Palatino Linotype" w:cs="Palatino Linotype"/>
      <w:b/>
      <w:bCs/>
      <w:sz w:val="14"/>
      <w:szCs w:val="14"/>
      <w:u w:val="none"/>
      <w:shd w:val="clear" w:color="auto" w:fill="FFFFFF"/>
    </w:rPr>
  </w:style>
  <w:style w:type="character" w:customStyle="1" w:styleId="Bodytext5NotItalic1">
    <w:name w:val="Body text (5) + Not Italic1"/>
    <w:basedOn w:val="Bodytext5"/>
    <w:uiPriority w:val="99"/>
    <w:rsid w:val="003B3957"/>
    <w:rPr>
      <w:rFonts w:ascii="Palatino Linotype" w:eastAsia="Times New Roman" w:hAnsi="Palatino Linotype" w:cs="Palatino Linotype"/>
      <w:b w:val="0"/>
      <w:bCs w:val="0"/>
      <w:i w:val="0"/>
      <w:iCs w:val="0"/>
      <w:smallCaps w:val="0"/>
      <w:strike w:val="0"/>
      <w:spacing w:val="0"/>
      <w:sz w:val="19"/>
      <w:szCs w:val="19"/>
      <w:u w:val="none"/>
    </w:rPr>
  </w:style>
  <w:style w:type="character" w:customStyle="1" w:styleId="Bodytext31">
    <w:name w:val="Body text3"/>
    <w:basedOn w:val="Bodytext"/>
    <w:uiPriority w:val="99"/>
    <w:rsid w:val="003B3957"/>
    <w:rPr>
      <w:rFonts w:ascii="Palatino Linotype" w:eastAsia="Times New Roman" w:hAnsi="Palatino Linotype" w:cs="Palatino Linotype"/>
      <w:b w:val="0"/>
      <w:bCs w:val="0"/>
      <w:i w:val="0"/>
      <w:iCs w:val="0"/>
      <w:smallCaps w:val="0"/>
      <w:strike w:val="0"/>
      <w:spacing w:val="0"/>
      <w:sz w:val="19"/>
      <w:szCs w:val="19"/>
      <w:u w:val="single"/>
    </w:rPr>
  </w:style>
  <w:style w:type="character" w:customStyle="1" w:styleId="Bodytext26">
    <w:name w:val="Body text2"/>
    <w:basedOn w:val="Bodytext"/>
    <w:uiPriority w:val="99"/>
    <w:rsid w:val="003B3957"/>
    <w:rPr>
      <w:rFonts w:ascii="Palatino Linotype" w:eastAsia="Times New Roman" w:hAnsi="Palatino Linotype" w:cs="Palatino Linotype"/>
      <w:b w:val="0"/>
      <w:bCs w:val="0"/>
      <w:i w:val="0"/>
      <w:iCs w:val="0"/>
      <w:smallCaps w:val="0"/>
      <w:strike w:val="0"/>
      <w:noProof/>
      <w:spacing w:val="0"/>
      <w:sz w:val="19"/>
      <w:szCs w:val="19"/>
      <w:u w:val="none"/>
    </w:rPr>
  </w:style>
  <w:style w:type="character" w:customStyle="1" w:styleId="Footnote38pt1">
    <w:name w:val="Footnote (3) + 8 pt1"/>
    <w:basedOn w:val="Footnote3"/>
    <w:uiPriority w:val="99"/>
    <w:rsid w:val="003B3957"/>
    <w:rPr>
      <w:rFonts w:ascii="Palatino Linotype" w:hAnsi="Palatino Linotype" w:cs="Palatino Linotype"/>
      <w:b/>
      <w:bCs/>
      <w:i/>
      <w:iCs/>
      <w:sz w:val="16"/>
      <w:szCs w:val="16"/>
      <w:u w:val="none"/>
      <w:shd w:val="clear" w:color="auto" w:fill="FFFFFF"/>
    </w:rPr>
  </w:style>
  <w:style w:type="character" w:customStyle="1" w:styleId="Footnote37pt1">
    <w:name w:val="Footnote (3) + 7 pt1"/>
    <w:aliases w:val="Not Italic1"/>
    <w:basedOn w:val="Footnote3"/>
    <w:uiPriority w:val="99"/>
    <w:rsid w:val="003B3957"/>
    <w:rPr>
      <w:rFonts w:ascii="Palatino Linotype" w:hAnsi="Palatino Linotype" w:cs="Palatino Linotype"/>
      <w:b/>
      <w:bCs/>
      <w:i/>
      <w:iCs/>
      <w:sz w:val="14"/>
      <w:szCs w:val="14"/>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118091">
      <w:bodyDiv w:val="1"/>
      <w:marLeft w:val="0"/>
      <w:marRight w:val="0"/>
      <w:marTop w:val="0"/>
      <w:marBottom w:val="0"/>
      <w:divBdr>
        <w:top w:val="none" w:sz="0" w:space="0" w:color="auto"/>
        <w:left w:val="none" w:sz="0" w:space="0" w:color="auto"/>
        <w:bottom w:val="none" w:sz="0" w:space="0" w:color="auto"/>
        <w:right w:val="none" w:sz="0" w:space="0" w:color="auto"/>
      </w:divBdr>
    </w:div>
    <w:div w:id="436757824">
      <w:bodyDiv w:val="1"/>
      <w:marLeft w:val="0"/>
      <w:marRight w:val="0"/>
      <w:marTop w:val="0"/>
      <w:marBottom w:val="0"/>
      <w:divBdr>
        <w:top w:val="none" w:sz="0" w:space="0" w:color="auto"/>
        <w:left w:val="none" w:sz="0" w:space="0" w:color="auto"/>
        <w:bottom w:val="none" w:sz="0" w:space="0" w:color="auto"/>
        <w:right w:val="none" w:sz="0" w:space="0" w:color="auto"/>
      </w:divBdr>
    </w:div>
    <w:div w:id="459684937">
      <w:bodyDiv w:val="1"/>
      <w:marLeft w:val="0"/>
      <w:marRight w:val="0"/>
      <w:marTop w:val="0"/>
      <w:marBottom w:val="0"/>
      <w:divBdr>
        <w:top w:val="none" w:sz="0" w:space="0" w:color="auto"/>
        <w:left w:val="none" w:sz="0" w:space="0" w:color="auto"/>
        <w:bottom w:val="none" w:sz="0" w:space="0" w:color="auto"/>
        <w:right w:val="none" w:sz="0" w:space="0" w:color="auto"/>
      </w:divBdr>
    </w:div>
    <w:div w:id="586501697">
      <w:bodyDiv w:val="1"/>
      <w:marLeft w:val="0"/>
      <w:marRight w:val="0"/>
      <w:marTop w:val="0"/>
      <w:marBottom w:val="0"/>
      <w:divBdr>
        <w:top w:val="none" w:sz="0" w:space="0" w:color="auto"/>
        <w:left w:val="none" w:sz="0" w:space="0" w:color="auto"/>
        <w:bottom w:val="none" w:sz="0" w:space="0" w:color="auto"/>
        <w:right w:val="none" w:sz="0" w:space="0" w:color="auto"/>
      </w:divBdr>
      <w:divsChild>
        <w:div w:id="703405402">
          <w:marLeft w:val="0"/>
          <w:marRight w:val="0"/>
          <w:marTop w:val="0"/>
          <w:marBottom w:val="0"/>
          <w:divBdr>
            <w:top w:val="none" w:sz="0" w:space="0" w:color="auto"/>
            <w:left w:val="none" w:sz="0" w:space="0" w:color="auto"/>
            <w:bottom w:val="none" w:sz="0" w:space="0" w:color="auto"/>
            <w:right w:val="none" w:sz="0" w:space="0" w:color="auto"/>
          </w:divBdr>
          <w:divsChild>
            <w:div w:id="928348980">
              <w:marLeft w:val="0"/>
              <w:marRight w:val="0"/>
              <w:marTop w:val="0"/>
              <w:marBottom w:val="0"/>
              <w:divBdr>
                <w:top w:val="none" w:sz="0" w:space="0" w:color="auto"/>
                <w:left w:val="none" w:sz="0" w:space="0" w:color="auto"/>
                <w:bottom w:val="none" w:sz="0" w:space="0" w:color="auto"/>
                <w:right w:val="none" w:sz="0" w:space="0" w:color="auto"/>
              </w:divBdr>
              <w:divsChild>
                <w:div w:id="115300740">
                  <w:marLeft w:val="0"/>
                  <w:marRight w:val="0"/>
                  <w:marTop w:val="0"/>
                  <w:marBottom w:val="0"/>
                  <w:divBdr>
                    <w:top w:val="none" w:sz="0" w:space="0" w:color="auto"/>
                    <w:left w:val="none" w:sz="0" w:space="0" w:color="auto"/>
                    <w:bottom w:val="none" w:sz="0" w:space="0" w:color="auto"/>
                    <w:right w:val="none" w:sz="0" w:space="0" w:color="auto"/>
                  </w:divBdr>
                  <w:divsChild>
                    <w:div w:id="1280062654">
                      <w:marLeft w:val="0"/>
                      <w:marRight w:val="0"/>
                      <w:marTop w:val="0"/>
                      <w:marBottom w:val="0"/>
                      <w:divBdr>
                        <w:top w:val="none" w:sz="0" w:space="0" w:color="auto"/>
                        <w:left w:val="none" w:sz="0" w:space="0" w:color="auto"/>
                        <w:bottom w:val="none" w:sz="0" w:space="0" w:color="auto"/>
                        <w:right w:val="none" w:sz="0" w:space="0" w:color="auto"/>
                      </w:divBdr>
                      <w:divsChild>
                        <w:div w:id="1928885708">
                          <w:marLeft w:val="0"/>
                          <w:marRight w:val="0"/>
                          <w:marTop w:val="0"/>
                          <w:marBottom w:val="0"/>
                          <w:divBdr>
                            <w:top w:val="none" w:sz="0" w:space="0" w:color="auto"/>
                            <w:left w:val="none" w:sz="0" w:space="0" w:color="auto"/>
                            <w:bottom w:val="none" w:sz="0" w:space="0" w:color="auto"/>
                            <w:right w:val="none" w:sz="0" w:space="0" w:color="auto"/>
                          </w:divBdr>
                          <w:divsChild>
                            <w:div w:id="18820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308983">
          <w:marLeft w:val="0"/>
          <w:marRight w:val="0"/>
          <w:marTop w:val="0"/>
          <w:marBottom w:val="0"/>
          <w:divBdr>
            <w:top w:val="none" w:sz="0" w:space="0" w:color="auto"/>
            <w:left w:val="none" w:sz="0" w:space="0" w:color="auto"/>
            <w:bottom w:val="none" w:sz="0" w:space="0" w:color="auto"/>
            <w:right w:val="none" w:sz="0" w:space="0" w:color="auto"/>
          </w:divBdr>
          <w:divsChild>
            <w:div w:id="6480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9909">
      <w:bodyDiv w:val="1"/>
      <w:marLeft w:val="0"/>
      <w:marRight w:val="0"/>
      <w:marTop w:val="0"/>
      <w:marBottom w:val="0"/>
      <w:divBdr>
        <w:top w:val="none" w:sz="0" w:space="0" w:color="auto"/>
        <w:left w:val="none" w:sz="0" w:space="0" w:color="auto"/>
        <w:bottom w:val="none" w:sz="0" w:space="0" w:color="auto"/>
        <w:right w:val="none" w:sz="0" w:space="0" w:color="auto"/>
      </w:divBdr>
    </w:div>
    <w:div w:id="905073618">
      <w:bodyDiv w:val="1"/>
      <w:marLeft w:val="0"/>
      <w:marRight w:val="0"/>
      <w:marTop w:val="0"/>
      <w:marBottom w:val="0"/>
      <w:divBdr>
        <w:top w:val="none" w:sz="0" w:space="0" w:color="auto"/>
        <w:left w:val="none" w:sz="0" w:space="0" w:color="auto"/>
        <w:bottom w:val="none" w:sz="0" w:space="0" w:color="auto"/>
        <w:right w:val="none" w:sz="0" w:space="0" w:color="auto"/>
      </w:divBdr>
    </w:div>
    <w:div w:id="1496414286">
      <w:bodyDiv w:val="1"/>
      <w:marLeft w:val="0"/>
      <w:marRight w:val="0"/>
      <w:marTop w:val="0"/>
      <w:marBottom w:val="0"/>
      <w:divBdr>
        <w:top w:val="none" w:sz="0" w:space="0" w:color="auto"/>
        <w:left w:val="none" w:sz="0" w:space="0" w:color="auto"/>
        <w:bottom w:val="none" w:sz="0" w:space="0" w:color="auto"/>
        <w:right w:val="none" w:sz="0" w:space="0" w:color="auto"/>
      </w:divBdr>
    </w:div>
    <w:div w:id="1637448253">
      <w:bodyDiv w:val="1"/>
      <w:marLeft w:val="0"/>
      <w:marRight w:val="0"/>
      <w:marTop w:val="0"/>
      <w:marBottom w:val="0"/>
      <w:divBdr>
        <w:top w:val="none" w:sz="0" w:space="0" w:color="auto"/>
        <w:left w:val="none" w:sz="0" w:space="0" w:color="auto"/>
        <w:bottom w:val="none" w:sz="0" w:space="0" w:color="auto"/>
        <w:right w:val="none" w:sz="0" w:space="0" w:color="auto"/>
      </w:divBdr>
    </w:div>
    <w:div w:id="19858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3AA93-4BC1-4910-860E-7917ADB5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33886</Words>
  <Characters>193153</Characters>
  <Application>Microsoft Office Word</Application>
  <DocSecurity>4</DocSecurity>
  <Lines>1609</Lines>
  <Paragraphs>453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Irit</dc:creator>
  <cp:lastModifiedBy>Irit</cp:lastModifiedBy>
  <cp:revision>2</cp:revision>
  <cp:lastPrinted>2017-12-16T23:17:00Z</cp:lastPrinted>
  <dcterms:created xsi:type="dcterms:W3CDTF">2021-04-13T17:03:00Z</dcterms:created>
  <dcterms:modified xsi:type="dcterms:W3CDTF">2021-04-13T17:03:00Z</dcterms:modified>
</cp:coreProperties>
</file>